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0f67859e6c44a64" /></Relationships>
</file>

<file path=word/document.xml><?xml version="1.0" encoding="utf-8"?>
<w:document xmlns:w="http://schemas.openxmlformats.org/wordprocessingml/2006/main">
  <w:body>
    <w:p>
      <w:r>
        <w:rPr>
          <w:b/>
        </w:rPr>
        <w:r>
          <w:rPr/>
          <w:t xml:space="preserve">5444-S2.E</w:t>
        </w:r>
      </w:r>
      <w:r>
        <w:rPr>
          <w:b/>
        </w:rPr>
        <w:t xml:space="preserve"> </w:t>
        <w:t xml:space="preserve">AMH</w:t>
      </w:r>
      <w:r>
        <w:rPr>
          <w:b/>
        </w:rPr>
        <w:t xml:space="preserve"> </w:t>
        <w:r>
          <w:rPr/>
          <w:t xml:space="preserve">CRJ</w:t>
        </w:r>
      </w:r>
      <w:r>
        <w:rPr>
          <w:b/>
        </w:rPr>
        <w:t xml:space="preserve"> </w:t>
        <w:r>
          <w:rPr/>
          <w:t xml:space="preserve">H2655.1</w:t>
        </w:r>
      </w:r>
      <w:r>
        <w:rPr>
          <w:b/>
        </w:rPr>
        <w:t xml:space="preserve"> - NOT FOR FLOOR USE</w:t>
      </w:r>
    </w:p>
    <w:p>
      <w:pPr>
        <w:ind w:left="0" w:right="0" w:firstLine="576"/>
      </w:pPr>
    </w:p>
    <w:p>
      <w:pPr>
        <w:spacing w:before="480" w:after="0" w:line="408" w:lineRule="exact"/>
      </w:pPr>
      <w:r>
        <w:rPr>
          <w:b/>
          <w:u w:val="single"/>
        </w:rPr>
        <w:t xml:space="preserve">E2SSB 5444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Civil Rights &amp; Judiciary</w:t>
      </w:r>
    </w:p>
    <w:p>
      <w:pPr>
        <w:jc w:val="right"/>
      </w:pPr>
      <w:r>
        <w:rPr>
          <w:b/>
        </w:rPr>
        <w:t xml:space="preserve">NOT 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there has been a nationwide increase in the number of individuals with behavioral health disorders in the criminal justice system. The legislature also recognizes that reforms must be made to our own behavioral health systems and services to meet the increasing demands in our state, to provide timely competency evaluations and restoration services, and to comply with federal court orders issued in </w:t>
      </w:r>
      <w:r>
        <w:rPr>
          <w:i/>
        </w:rPr>
        <w:t xml:space="preserve">A.B., by and through Trueblood, et al., v. DSHS, et al.</w:t>
      </w:r>
      <w:r>
        <w:rPr/>
        <w:t xml:space="preserve">, No. 15-35462 ("Trueblood"). The legislature acknowledges that these reforms will require the support of a broad range of stakeholders, including local law enforcement, prosecuting attorneys, defense attorneys, community members, and health care providers. The legislature further acknowledges the significant efforts of the parties to the Trueblood litigation to establish a roadmap and framework within their settlement agreement for proposed systemic reforms to the forensic mental health care system. It is the intent of the legislature to enact appropriate reforms consistent with the goals agreed to in the Trueblood settlement agreement, to continue to engage with stakeholders and community partners to address the needs of this vulnerable population, and to ensure that the public safety needs of our communities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limitations described in this section, a court may appoint an impartial forensic navigator employed by or contracted by the department to assist individuals who have been referred for competency evaluation.</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To present information to the court in order to assist the court in understanding the treatment options available to the individual to support the entry of orders for diversion from the forensic mental health system or for community outpatient competency restoration, and to facilitate that transition; and</w:t>
      </w:r>
    </w:p>
    <w:p>
      <w:pPr>
        <w:spacing w:before="0" w:after="0" w:line="408" w:lineRule="exact"/>
        <w:ind w:left="0" w:right="0" w:firstLine="576"/>
        <w:jc w:val="left"/>
      </w:pPr>
      <w:r>
        <w:rPr/>
        <w:t xml:space="preserve">(d)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Planning for a coordinated transition of the individual to a case manager in the community behavioral health system;</w:t>
      </w:r>
    </w:p>
    <w:p>
      <w:pPr>
        <w:spacing w:before="0" w:after="0" w:line="408" w:lineRule="exact"/>
        <w:ind w:left="0" w:right="0" w:firstLine="576"/>
        <w:jc w:val="left"/>
      </w:pPr>
      <w:r>
        <w:rPr/>
        <w:t xml:space="preserve">(viii) Attempting to follow up with the individual to check whether the meeting with a community-based case manager took place;</w:t>
      </w:r>
    </w:p>
    <w:p>
      <w:pPr>
        <w:spacing w:before="0" w:after="0" w:line="408" w:lineRule="exact"/>
        <w:ind w:left="0" w:right="0" w:firstLine="576"/>
        <w:jc w:val="left"/>
      </w:pPr>
      <w:r>
        <w:rPr/>
        <w:t xml:space="preserve">(ix) When the individual is a high utilizer, attempting to connect the individual with high utilizer services; and</w:t>
      </w:r>
    </w:p>
    <w:p>
      <w:pPr>
        <w:spacing w:before="0" w:after="0" w:line="408" w:lineRule="exact"/>
        <w:ind w:left="0" w:right="0" w:firstLine="576"/>
        <w:jc w:val="left"/>
      </w:pPr>
      <w:r>
        <w:rPr/>
        <w:t xml:space="preserve">(x) Attempting to check up on the individual at least once per month for up to sixty days after coordinated transition to community behavioral health services, without duplicating the services of the community-based case manager.</w:t>
      </w:r>
    </w:p>
    <w:p>
      <w:pPr>
        <w:spacing w:before="0" w:after="0" w:line="408" w:lineRule="exact"/>
        <w:ind w:left="0" w:right="0" w:firstLine="576"/>
        <w:jc w:val="left"/>
      </w:pPr>
      <w:r>
        <w:rPr/>
        <w:t xml:space="preserve">(4) Forensic navigators may submit nonclinical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110</w:t>
      </w:r>
      <w:r>
        <w:rPr/>
        <w:t xml:space="preserve"> and 2014 c 225 s 57 are each amended to read as follows:</w:t>
      </w:r>
    </w:p>
    <w:p>
      <w:pPr>
        <w:spacing w:before="0" w:after="0" w:line="408" w:lineRule="exact"/>
        <w:ind w:left="0" w:right="0" w:firstLine="576"/>
        <w:jc w:val="left"/>
      </w:pPr>
      <w:r>
        <w:rPr/>
        <w:t xml:space="preserve">(1) When a police officer has reasonable cause to believe that the individual has committed acts constituting a </w:t>
      </w:r>
      <w:r>
        <w:t>((</w:t>
      </w:r>
      <w:r>
        <w:rPr>
          <w:strike/>
        </w:rPr>
        <w:t xml:space="preserve">nonfelony</w:t>
      </w:r>
      <w:r>
        <w:t>))</w:t>
      </w:r>
      <w:r>
        <w:rPr/>
        <w:t xml:space="preserve"> crime </w:t>
      </w:r>
      <w:r>
        <w:t>((</w:t>
      </w:r>
      <w:r>
        <w:rPr>
          <w:strike/>
        </w:rPr>
        <w:t xml:space="preserve">that is not a serious offense as identified in RCW 10.77.092</w:t>
      </w:r>
      <w:r>
        <w:t>))</w:t>
      </w:r>
      <w:r>
        <w:rPr>
          <w:u w:val="single"/>
        </w:rPr>
        <w:t xml:space="preserve">,</w:t>
      </w:r>
      <w:r>
        <w:rPr/>
        <w:t xml:space="preserve"> and the individual is known by history or consultation with the behavioral health organization</w:t>
      </w:r>
      <w:r>
        <w:rPr>
          <w:u w:val="single"/>
        </w:rPr>
        <w:t xml:space="preserve">, managed care organization, behavioral health administrative services organization, crisis hotline, or local crisis services providers</w:t>
      </w:r>
      <w:r>
        <w:rPr/>
        <w:t xml:space="preserve"> to suffer from a mental disorder</w:t>
      </w:r>
      <w:r>
        <w:rPr>
          <w:u w:val="single"/>
        </w:rPr>
        <w:t xml:space="preserve">, in addition to existing authority under state law, as an alternative to arrest</w:t>
      </w:r>
      <w:r>
        <w:rPr/>
        <w:t xml:space="preserve">, the arresting officer </w:t>
      </w:r>
      <w:r>
        <w:t>((</w:t>
      </w:r>
      <w:r>
        <w:rPr>
          <w:strike/>
        </w:rPr>
        <w:t xml:space="preserve">may</w:t>
      </w:r>
      <w:r>
        <w:t>))</w:t>
      </w:r>
      <w:r>
        <w:rPr/>
        <w:t xml:space="preserve"> </w:t>
      </w:r>
      <w:r>
        <w:rPr>
          <w:u w:val="single"/>
        </w:rPr>
        <w:t xml:space="preserve">is authorized and encouraged to</w:t>
      </w:r>
      <w:r>
        <w:rPr/>
        <w:t xml:space="preserve">:</w:t>
      </w:r>
    </w:p>
    <w:p>
      <w:pPr>
        <w:spacing w:before="0" w:after="0" w:line="408" w:lineRule="exact"/>
        <w:ind w:left="0" w:right="0" w:firstLine="576"/>
        <w:jc w:val="left"/>
      </w:pPr>
      <w:r>
        <w:rPr/>
        <w:t xml:space="preserve">(a) Take the individual to a crisis stabilization unit as defined in RCW 71.05.020</w:t>
      </w:r>
      <w:r>
        <w:t>((</w:t>
      </w:r>
      <w:r>
        <w:rPr>
          <w:strike/>
        </w:rPr>
        <w:t xml:space="preserve">(6)</w:t>
      </w:r>
      <w:r>
        <w:t>))</w:t>
      </w:r>
      <w:r>
        <w:rPr/>
        <w:t xml:space="preserve">. Individuals delivered to a crisis stabilization unit pursuant to this section may be held by the facility for a period of up to twelve hours. The individual must be examined by a mental health professional within three hours of arrival;</w:t>
      </w:r>
    </w:p>
    <w:p>
      <w:pPr>
        <w:spacing w:before="0" w:after="0" w:line="408" w:lineRule="exact"/>
        <w:ind w:left="0" w:right="0" w:firstLine="576"/>
        <w:jc w:val="left"/>
      </w:pPr>
      <w:r>
        <w:rPr/>
        <w:t xml:space="preserve">(b) Take the individual to a triage facility as defined in RCW 71.05.020. An individual delivered to a triage facility which has elected to operate as an involuntary facility may be held up to a period of twelve hours. The individual must be examined by a mental health professional within three hours of arrival;</w:t>
      </w:r>
    </w:p>
    <w:p>
      <w:pPr>
        <w:spacing w:before="0" w:after="0" w:line="408" w:lineRule="exact"/>
        <w:ind w:left="0" w:right="0" w:firstLine="576"/>
        <w:jc w:val="left"/>
      </w:pPr>
      <w:r>
        <w:rPr/>
        <w:t xml:space="preserve">(c) Refer the individual to a mental health professional for evaluation for initial detention and proceeding under chapter 71.05 RCW; or</w:t>
      </w:r>
    </w:p>
    <w:p>
      <w:pPr>
        <w:spacing w:before="0" w:after="0" w:line="408" w:lineRule="exact"/>
        <w:ind w:left="0" w:right="0" w:firstLine="576"/>
        <w:jc w:val="left"/>
      </w:pPr>
      <w:r>
        <w:rPr/>
        <w:t xml:space="preserve">(d) Release the individual upon agreement to voluntary participation in outpatient treatment.</w:t>
      </w:r>
    </w:p>
    <w:p>
      <w:pPr>
        <w:spacing w:before="0" w:after="0" w:line="408" w:lineRule="exact"/>
        <w:ind w:left="0" w:right="0" w:firstLine="576"/>
        <w:jc w:val="left"/>
      </w:pPr>
      <w:r>
        <w:rPr/>
        <w:t xml:space="preserve">(2) If the individual is released to the community, the mental health provider shall </w:t>
      </w:r>
      <w:r>
        <w:rPr>
          <w:u w:val="single"/>
        </w:rPr>
        <w:t xml:space="preserve">make reasonable efforts to</w:t>
      </w:r>
      <w:r>
        <w:rPr/>
        <w:t xml:space="preserve"> inform the arresting officer of the </w:t>
      </w:r>
      <w:r>
        <w:rPr>
          <w:u w:val="single"/>
        </w:rPr>
        <w:t xml:space="preserve">planned</w:t>
      </w:r>
      <w:r>
        <w:rPr/>
        <w:t xml:space="preserve"> release </w:t>
      </w:r>
      <w:r>
        <w:t>((</w:t>
      </w:r>
      <w:r>
        <w:rPr>
          <w:strike/>
        </w:rPr>
        <w:t xml:space="preserve">within a reasonable period of time after the</w:t>
      </w:r>
      <w:r>
        <w:t>))</w:t>
      </w:r>
      <w:r>
        <w:rPr/>
        <w:t xml:space="preserve"> </w:t>
      </w:r>
      <w:r>
        <w:rPr>
          <w:u w:val="single"/>
        </w:rPr>
        <w:t xml:space="preserve">prior to</w:t>
      </w:r>
      <w:r>
        <w:rPr/>
        <w:t xml:space="preserve"> release if the arresting officer has specifically requested notification and provided contact information to the provider.</w:t>
      </w:r>
    </w:p>
    <w:p>
      <w:pPr>
        <w:spacing w:before="0" w:after="0" w:line="408" w:lineRule="exact"/>
        <w:ind w:left="0" w:right="0" w:firstLine="576"/>
        <w:jc w:val="left"/>
      </w:pPr>
      <w:r>
        <w:rPr/>
        <w:t xml:space="preserve">(3) In deciding whether to refer the individual to treatment under this section, the police officer </w:t>
      </w:r>
      <w:r>
        <w:t>((</w:t>
      </w:r>
      <w:r>
        <w:rPr>
          <w:strike/>
        </w:rPr>
        <w:t xml:space="preserve">shall</w:t>
      </w:r>
      <w:r>
        <w:t>))</w:t>
      </w:r>
      <w:r>
        <w:rPr/>
        <w:t xml:space="preserve"> </w:t>
      </w:r>
      <w:r>
        <w:rPr>
          <w:u w:val="single"/>
        </w:rPr>
        <w:t xml:space="preserve">must</w:t>
      </w:r>
      <w:r>
        <w:rPr/>
        <w:t xml:space="preserve"> be guided by </w:t>
      </w:r>
      <w:r>
        <w:t>((</w:t>
      </w:r>
      <w:r>
        <w:rPr>
          <w:strike/>
        </w:rPr>
        <w:t xml:space="preserve">standards</w:t>
      </w:r>
      <w:r>
        <w:t>))</w:t>
      </w:r>
      <w:r>
        <w:rPr/>
        <w:t xml:space="preserve"> </w:t>
      </w:r>
      <w:r>
        <w:rPr>
          <w:u w:val="single"/>
        </w:rPr>
        <w:t xml:space="preserve">local law enforcement diversion guidelines for behavioral health developed and</w:t>
      </w:r>
      <w:r>
        <w:rPr/>
        <w:t xml:space="preserve"> mutually agreed upon with the prosecuting authority</w:t>
      </w:r>
      <w:r>
        <w:t>((</w:t>
      </w:r>
      <w:r>
        <w:rPr>
          <w:strike/>
        </w:rPr>
        <w:t xml:space="preserve">, which</w:t>
      </w:r>
      <w:r>
        <w:t>))</w:t>
      </w:r>
      <w:r>
        <w:rPr/>
        <w:t xml:space="preserve"> </w:t>
      </w:r>
      <w:r>
        <w:rPr>
          <w:u w:val="single"/>
        </w:rPr>
        <w:t xml:space="preserve">with an opportunity for consultation and comment by the defense bar and disability community. These guidelines must</w:t>
      </w:r>
      <w:r>
        <w:rPr/>
        <w:t xml:space="preserve"> address, at a minimum, the length, seriousness, and recency of the known criminal history of the individual, the mental health history of the individual, </w:t>
      </w:r>
      <w:r>
        <w:t>((</w:t>
      </w:r>
      <w:r>
        <w:rPr>
          <w:strike/>
        </w:rPr>
        <w:t xml:space="preserve">where</w:t>
      </w:r>
      <w:r>
        <w:t>))</w:t>
      </w:r>
      <w:r>
        <w:rPr/>
        <w:t xml:space="preserve"> </w:t>
      </w:r>
      <w:r>
        <w:rPr>
          <w:u w:val="single"/>
        </w:rPr>
        <w:t xml:space="preserve">if</w:t>
      </w:r>
      <w:r>
        <w:rPr/>
        <w:t xml:space="preserve"> available, </w:t>
      </w:r>
      <w:r>
        <w:rPr>
          <w:u w:val="single"/>
        </w:rPr>
        <w:t xml:space="preserve">the opinions of a mental health professional, if available,</w:t>
      </w:r>
      <w:r>
        <w:rPr/>
        <w:t xml:space="preserve"> and the circumstances surrounding the commission of the alleged offense. </w:t>
      </w:r>
      <w:r>
        <w:rPr>
          <w:u w:val="single"/>
        </w:rPr>
        <w:t xml:space="preserve">The guidelines must include a process for clearing outstanding warrants or referring the individual for assistance in clearing outstanding warrants, if any, and issuing a new court date, if appropriate, without booking or incarcerating the individual or disqualifying him or her from referral to treatment under this section, and define the circumstances under which such action is permissible.</w:t>
      </w:r>
    </w:p>
    <w:p>
      <w:pPr>
        <w:spacing w:before="0" w:after="0" w:line="408" w:lineRule="exact"/>
        <w:ind w:left="0" w:right="0" w:firstLine="576"/>
        <w:jc w:val="left"/>
      </w:pPr>
      <w:r>
        <w:rPr/>
        <w:t xml:space="preserve">(4) Any agreement to participate in treatment shall not require individuals to stipulate to any of the alleged facts regarding the criminal activity as a prerequisite to participation in a mental health treatment alternative. The agreement is inadmissible in any criminal or civil proceeding. The agreement does not create immunity from prosecution for the alleged criminal activity.</w:t>
      </w:r>
    </w:p>
    <w:p>
      <w:pPr>
        <w:spacing w:before="0" w:after="0" w:line="408" w:lineRule="exact"/>
        <w:ind w:left="0" w:right="0" w:firstLine="576"/>
        <w:jc w:val="left"/>
      </w:pPr>
      <w:r>
        <w:rPr/>
        <w:t xml:space="preserve">(5) If an individual violates such agreement and the mental health treatment alternative is no longer appropriate:</w:t>
      </w:r>
    </w:p>
    <w:p>
      <w:pPr>
        <w:spacing w:before="0" w:after="0" w:line="408" w:lineRule="exact"/>
        <w:ind w:left="0" w:right="0" w:firstLine="576"/>
        <w:jc w:val="left"/>
      </w:pPr>
      <w:r>
        <w:rPr/>
        <w:t xml:space="preserve">(a) The mental health provider shall inform the referring law enforcement agency of the violation; and</w:t>
      </w:r>
    </w:p>
    <w:p>
      <w:pPr>
        <w:spacing w:before="0" w:after="0" w:line="408" w:lineRule="exact"/>
        <w:ind w:left="0" w:right="0" w:firstLine="576"/>
        <w:jc w:val="left"/>
      </w:pPr>
      <w:r>
        <w:rPr/>
        <w:t xml:space="preserve">(b) The original charges may be filed or referred to the prosecutor, as appropriate, and the matter may proceed accordingly.</w:t>
      </w:r>
    </w:p>
    <w:p>
      <w:pPr>
        <w:spacing w:before="0" w:after="0" w:line="408" w:lineRule="exact"/>
        <w:ind w:left="0" w:right="0" w:firstLine="576"/>
        <w:jc w:val="left"/>
      </w:pPr>
      <w:r>
        <w:rPr/>
        <w:t xml:space="preserve">(6) The police officer is immune from liability for any good faith conduct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2015 1st sp.s. c 7 s 5 are each amended to read as follows:</w:t>
      </w:r>
    </w:p>
    <w:p>
      <w:pPr>
        <w:spacing w:before="0" w:after="0" w:line="408" w:lineRule="exact"/>
        <w:ind w:left="0" w:right="0" w:firstLine="576"/>
        <w:jc w:val="left"/>
      </w:pPr>
      <w:r>
        <w:rPr/>
        <w:t xml:space="preserve">(1)(a)(i) If the defendant is charged with a felony and determined to be incompetent, until he or she has regained the competency necessary to understand the proceedings against him or her and assist in his or her own defense, but in any event for a period of no longer than ninety days, the court</w:t>
      </w:r>
      <w:r>
        <w:t>((</w:t>
      </w:r>
      <w:r>
        <w:rPr>
          <w:strike/>
        </w:rPr>
        <w:t xml:space="preserve">:</w:t>
      </w:r>
    </w:p>
    <w:p>
      <w:pPr>
        <w:spacing w:before="0" w:after="0" w:line="408" w:lineRule="exact"/>
        <w:ind w:left="0" w:right="0" w:firstLine="576"/>
        <w:jc w:val="left"/>
      </w:pPr>
      <w:r>
        <w:rPr>
          <w:strike/>
        </w:rPr>
        <w:t xml:space="preserve">(A)</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 or</w:t>
      </w:r>
    </w:p>
    <w:p>
      <w:pPr>
        <w:spacing w:before="0" w:after="0" w:line="408" w:lineRule="exact"/>
        <w:ind w:left="0" w:right="0" w:firstLine="576"/>
        <w:jc w:val="left"/>
      </w:pPr>
      <w:r>
        <w:rPr>
          <w:strike/>
        </w:rPr>
        <w:t xml:space="preserve">(B)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Based on a recommendation from a forensic navigator and input from the parties, the court may order the defendant to receive inpatient competency restoration or outpatient competency restoration.</w:t>
      </w:r>
    </w:p>
    <w:p>
      <w:pPr>
        <w:spacing w:before="0" w:after="0" w:line="408" w:lineRule="exact"/>
        <w:ind w:left="0" w:right="0" w:firstLine="576"/>
        <w:jc w:val="left"/>
      </w:pPr>
      <w:r>
        <w:rPr>
          <w:u w:val="single"/>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(I) Adhere to medications or receive prescribed intravenous medication; and</w:t>
      </w:r>
    </w:p>
    <w:p>
      <w:pPr>
        <w:spacing w:before="0" w:after="0" w:line="408" w:lineRule="exact"/>
        <w:ind w:left="0" w:right="0" w:firstLine="576"/>
        <w:jc w:val="left"/>
      </w:pPr>
      <w:r>
        <w:rPr>
          <w:u w:val="single"/>
        </w:rPr>
        <w:t xml:space="preserve">(II) Abstain from alcohol and unprescribed drugs.</w:t>
      </w:r>
    </w:p>
    <w:p>
      <w:pPr>
        <w:spacing w:before="0" w:after="0" w:line="408" w:lineRule="exact"/>
        <w:ind w:left="0" w:right="0" w:firstLine="576"/>
        <w:jc w:val="left"/>
      </w:pPr>
      <w:r>
        <w:rPr>
          <w:u w:val="single"/>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u w:val="single"/>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health care authority must establish conditions of participation in the outpatient competency restoration program which must include the defendant being subject to medication management and regular urinalysis, as clinically appropriate.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(D) If a defendant fails to comply with the restrictions of the outpatient restoration program such that restoration is no longer appropriate in that setting or the defendant is no longer clinically appropriate for outpatient competency restoration, the department shall remove the defendant from the outpatient restoration program and place the defendant instead in an appropriate facility of the department for inpatient competency restoration for no longer than the remaining time period authorized in the original court order,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u w:val="single"/>
        </w:rPr>
        <w:t xml:space="preserve">(E) The court may not issue an order for outpatient competency restoration unless the department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(ii) The ninety day period for </w:t>
      </w:r>
      <w:r>
        <w:t>((</w:t>
      </w:r>
      <w:r>
        <w:rPr>
          <w:strike/>
        </w:rPr>
        <w:t xml:space="preserve">evaluation and treatment</w:t>
      </w:r>
      <w:r>
        <w:t>))</w:t>
      </w:r>
      <w:r>
        <w:rPr/>
        <w:t xml:space="preserve"> </w:t>
      </w:r>
      <w:r>
        <w:rPr>
          <w:u w:val="single"/>
        </w:rPr>
        <w:t xml:space="preserve">competency restoration</w:t>
      </w:r>
      <w:r>
        <w:rPr/>
        <w:t xml:space="preserve"> under this subsection (1)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(b) For a defendant whose highest charge is a class C felony, or a class B felony that is not classified as violent under RCW 9.94A.030, the maximum time allowed for the initial period of commitment for competency restoration is forty-five days. The forty-five 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(c) If the court determines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subsection (4) of this section.</w:t>
      </w:r>
    </w:p>
    <w:p>
      <w:pPr>
        <w:spacing w:before="0" w:after="0" w:line="408" w:lineRule="exact"/>
        <w:ind w:left="0" w:right="0" w:firstLine="576"/>
        <w:jc w:val="left"/>
      </w:pPr>
      <w:r>
        <w:rPr/>
        <w:t xml:space="preserve">(2) On or before expiration of the initial period of commitment under subsection (1) of this section the court shall conduct a hearing, at which it shall determine whether or not the defendant is incompetent.</w:t>
      </w:r>
    </w:p>
    <w:p>
      <w:pPr>
        <w:spacing w:before="0" w:after="0" w:line="408" w:lineRule="exact"/>
        <w:ind w:left="0" w:right="0" w:firstLine="576"/>
        <w:jc w:val="left"/>
      </w:pPr>
      <w:r>
        <w:rPr/>
        <w:t xml:space="preserve">(3) If the court finds by a preponderance of the evidence that a defendant charged with a felony is incompetent, the court shall have the option of extending the order of commitment or alternative treatment for an additional period of ninety days, but the court must at the time of extension set a date for a prompt hearing to determine the defendant's competency before the expiration of the second restoration period. The defendant, the defendant's attorney, or the prosecutor has the right to demand that the hearing be before a jury. No extension shall be ordered for a second or third restoration period as provided in subsection (4) of this section if the defendant's incompetence has been determined by the secretary to be solely the result of a developmental disability which is such that competence is not reasonably likely to be regained during an extension. The ninety-day period includes only the time the defendant is actually at the facility and is in addition to reasonable time for transport to or from the facility.</w:t>
      </w:r>
    </w:p>
    <w:p>
      <w:pPr>
        <w:spacing w:before="0" w:after="0" w:line="408" w:lineRule="exact"/>
        <w:ind w:left="0" w:right="0" w:firstLine="576"/>
        <w:jc w:val="left"/>
      </w:pPr>
      <w:r>
        <w:rPr/>
        <w:t xml:space="preserve">(4) For persons charged with a felony, at the hearing upon the expiration of the second restoration period or at the end of the first restoration period in the case of a defendant with a developmental disability, if the jury or court finds that the defendant is incompetent, or if the court or jury at any stage finds that the defendant is incompetent and the court determines that the defendant is unlikely to regain competency, the charges shall be dismissed without prejudice, and the court shall order the defendant be committed to a state hospital as defined in RCW 72.23.010 for up to seventy-two hours starting from admission to the facility, excluding Saturdays, Sundays, and holidays, for evaluation for the purpose of filing a civil commitment petition under chapter 71.05 RCW. The criminal charges shall not be dismissed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In the event that the court or jury makes such a finding, the court may extend the period of commitment for up to an additional six months. The six-month period includes only the time the defendant is actually at the facility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2016 sp.s. c 29 s 411 are each amended to read as follows:</w:t>
      </w:r>
    </w:p>
    <w:p>
      <w:pPr>
        <w:spacing w:before="0" w:after="0" w:line="408" w:lineRule="exact"/>
        <w:ind w:left="0" w:right="0" w:firstLine="576"/>
        <w:jc w:val="left"/>
      </w:pPr>
      <w:r>
        <w:rPr/>
        <w:t xml:space="preserve">(1)</w:t>
      </w:r>
      <w:r>
        <w:t>((</w:t>
      </w:r>
      <w:r>
        <w:rPr>
          <w:strike/>
        </w:rPr>
        <w:t xml:space="preserve">(a)</w:t>
      </w:r>
      <w:r>
        <w:t>))</w:t>
      </w:r>
      <w:r>
        <w:rPr/>
        <w:t xml:space="preserve">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u w:val="single"/>
        </w:rPr>
        <w:t xml:space="preserve">(a) Shall dismiss the proceedings without prejudice and detain the defendant for sufficient time to allow the designated crisis responder to evaluate the defendant and consider initial detention proceedings under chapter 71.05 RCW, unless the prosecutor objects to the dismissal and provides notice of a motion for an order for competency restoration, in which case the court shall schedule a hearing within seven days to determine whether to enter an order of competency restoration.</w:t>
      </w:r>
    </w:p>
    <w:p>
      <w:pPr>
        <w:spacing w:before="0" w:after="0" w:line="408" w:lineRule="exact"/>
        <w:ind w:left="0" w:right="0" w:firstLine="576"/>
        <w:jc w:val="left"/>
      </w:pPr>
      <w:r>
        <w:rPr>
          <w:u w:val="single"/>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or not competency restoration treatment is likely to be successful, in addition to the factors listed under RCW 10.77.092. If the prosecuting attorney proves by a preponderance of the evidence that there is a compelling state interest in ordering competency restoration, then the court shall order competency restoration in accordance with subsection (2)(a) of this section.</w:t>
      </w:r>
    </w:p>
    <w:p>
      <w:pPr>
        <w:spacing w:before="0" w:after="0" w:line="408" w:lineRule="exact"/>
        <w:ind w:left="0" w:right="0" w:firstLine="576"/>
        <w:jc w:val="left"/>
      </w:pPr>
      <w:r>
        <w:rPr>
          <w:u w:val="single"/>
        </w:rPr>
        <w:t xml:space="preserve">(2)(a) If a court finds pursuant to subsection (1)(b) of this section that there is a compelling state interest in pursuing competency restoration treatment, then the court</w:t>
      </w:r>
      <w:r>
        <w:rPr/>
        <w:t xml:space="preserve"> </w:t>
      </w:r>
      <w:r>
        <w:t>((</w:t>
      </w:r>
      <w:r>
        <w:rPr>
          <w:strike/>
        </w:rPr>
        <w:t xml:space="preserve">(i)</w:t>
      </w:r>
      <w:r>
        <w:t>))</w:t>
      </w:r>
      <w:r>
        <w:rPr/>
        <w:t xml:space="preserve"> </w:t>
      </w:r>
      <w:r>
        <w:rPr>
          <w:u w:val="single"/>
        </w:rPr>
        <w:t xml:space="preserve">s</w:t>
      </w:r>
      <w:r>
        <w:rPr/>
        <w:t xml:space="preserve">hall commit the defendant to the custody of the secretary </w:t>
      </w:r>
      <w:r>
        <w:t>((</w:t>
      </w:r>
      <w:r>
        <w:rPr>
          <w:strike/>
        </w:rPr>
        <w:t xml:space="preserve">who shall place such defendant in an appropriate facility of the department for evaluation and treatment;</w:t>
      </w:r>
    </w:p>
    <w:p>
      <w:pPr>
        <w:spacing w:before="0" w:after="0" w:line="408" w:lineRule="exact"/>
        <w:ind w:left="0" w:right="0" w:firstLine="576"/>
        <w:jc w:val="left"/>
      </w:pPr>
      <w:r>
        <w:rPr>
          <w:strike/>
        </w:rPr>
        <w:t xml:space="preserve">(ii) May alternatively order the defendant to undergo evaluation and treatment at some other facility or provider as determined by the department, or under the guidance and control of a professional person. The facilities or providers may include community mental health providers or other local facilities that contract with the department and are willing and able to provide treatment under this section. During the 2015-2017 fiscal biennium, the department may contract with one or more cities or counties to provide competency restoration services in a city or county jail if the city or county jail is willing and able to serve as a location for competency restoration services and if the secretary determines that there is an emergent need for beds and documents the justification, including a plan to address the emergency. Patients receiving competency restoration services in a city or county jail must be physically separated from other populations at the jail and restoration treatment services must be provided as much as possible within a therapeutic environment.</w:t>
      </w:r>
      <w:r>
        <w:t>))</w:t>
      </w:r>
      <w:r>
        <w:rPr/>
        <w:t xml:space="preserve"> </w:t>
      </w:r>
      <w:r>
        <w:rPr>
          <w:u w:val="single"/>
        </w:rPr>
        <w:t xml:space="preserve">for competency restoration. Based on a recommendation from a forensic navigator and input from the parties, the court may order the defendant to receive inpatient competency restoration or outpatient competency restoration.</w:t>
      </w:r>
    </w:p>
    <w:p>
      <w:pPr>
        <w:spacing w:before="0" w:after="0" w:line="408" w:lineRule="exact"/>
        <w:ind w:left="0" w:right="0" w:firstLine="576"/>
        <w:jc w:val="left"/>
      </w:pPr>
      <w:r>
        <w:rPr>
          <w:u w:val="single"/>
        </w:rPr>
        <w:t xml:space="preserve">(i) To be eligible for an order for outpatient competency restoration, a defendant must be clinically appropriate and be willing to:</w:t>
      </w:r>
    </w:p>
    <w:p>
      <w:pPr>
        <w:spacing w:before="0" w:after="0" w:line="408" w:lineRule="exact"/>
        <w:ind w:left="0" w:right="0" w:firstLine="576"/>
        <w:jc w:val="left"/>
      </w:pPr>
      <w:r>
        <w:rPr>
          <w:u w:val="single"/>
        </w:rPr>
        <w:t xml:space="preserve">(A) Adhere to medications or receive prescribed intravenous medication; and</w:t>
      </w:r>
    </w:p>
    <w:p>
      <w:pPr>
        <w:spacing w:before="0" w:after="0" w:line="408" w:lineRule="exact"/>
        <w:ind w:left="0" w:right="0" w:firstLine="576"/>
        <w:jc w:val="left"/>
      </w:pPr>
      <w:r>
        <w:rPr>
          <w:u w:val="single"/>
        </w:rPr>
        <w:t xml:space="preserve">(B) Abstain from alcohol and unprescribed drugs.</w:t>
      </w:r>
    </w:p>
    <w:p>
      <w:pPr>
        <w:spacing w:before="0" w:after="0" w:line="408" w:lineRule="exact"/>
        <w:ind w:left="0" w:right="0" w:firstLine="576"/>
        <w:jc w:val="left"/>
      </w:pPr>
      <w:r>
        <w:rPr>
          <w:u w:val="single"/>
        </w:rPr>
        <w:t xml:space="preserve">(ii) If the court orders inpatient competency restoration, the department shall place the defendant in an appropriate facility of the department for competency restoration under (b) of this subsection.</w:t>
      </w:r>
    </w:p>
    <w:p>
      <w:pPr>
        <w:spacing w:before="0" w:after="0" w:line="408" w:lineRule="exact"/>
        <w:ind w:left="0" w:right="0" w:firstLine="576"/>
        <w:jc w:val="left"/>
      </w:pPr>
      <w:r>
        <w:rPr>
          <w:u w:val="single"/>
        </w:rPr>
        <w:t xml:space="preserve">(iii)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health care authority shall establish conditions of participation in the outpatient competency restoration program which must include the defendant being subject to medication management and regular urinalysis, as clinically appropriate.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u w:val="single"/>
        </w:rPr>
        <w:t xml:space="preserve">(iv) If a defendant fails to comply with the restrictions of the outpatient competency restoration program such that restoration is no longer appropriate in that setting or the defendant is no longer clinically appropriate for outpatient competency restoration, the department shall remove the defendant from the outpatient restoration program and place the defendant instead in an appropriate facility of the department for inpatient competency restoration for no longer than the remaining time period authorized in the original court order, in addition to reasonable time for transport to or from the facility. The department shall notify the court and parties of the change in placement before the close of the next judicial day. The court shall schedule a hearing within five days to review the placement and conditions of release of the defendant and issue appropriate orders. The standard of proof shall be a preponderance of the evidence, and the court may in its discretion render its decision based on written submissions, live testimony, or remote testimony.</w:t>
      </w:r>
    </w:p>
    <w:p>
      <w:pPr>
        <w:spacing w:before="0" w:after="0" w:line="408" w:lineRule="exact"/>
        <w:ind w:left="0" w:right="0" w:firstLine="576"/>
        <w:jc w:val="left"/>
      </w:pPr>
      <w:r>
        <w:rPr>
          <w:u w:val="single"/>
        </w:rPr>
        <w:t xml:space="preserve">(v)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(b)</w:t>
      </w:r>
      <w:r>
        <w:rPr/>
        <w:t xml:space="preserve"> The placement under (a) </w:t>
      </w:r>
      <w:r>
        <w:t>((</w:t>
      </w:r>
      <w:r>
        <w:rPr>
          <w:strike/>
        </w:rPr>
        <w:t xml:space="preserve">(i) and (ii)</w:t>
      </w:r>
      <w:r>
        <w:t>))</w:t>
      </w:r>
      <w:r>
        <w:rPr/>
        <w:t xml:space="preserve"> of this subsection shall not exceed </w:t>
      </w:r>
      <w:r>
        <w:t>((</w:t>
      </w:r>
      <w:r>
        <w:rPr>
          <w:strike/>
        </w:rPr>
        <w:t xml:space="preserve">fourteen</w:t>
      </w:r>
      <w:r>
        <w:t>))</w:t>
      </w:r>
      <w:r>
        <w:rPr/>
        <w:t xml:space="preserve"> </w:t>
      </w:r>
      <w:r>
        <w:rPr>
          <w:u w:val="single"/>
        </w:rPr>
        <w:t xml:space="preserve">twenty-nine</w:t>
      </w:r>
      <w:r>
        <w:rPr/>
        <w:t xml:space="preserve"> days </w:t>
      </w:r>
      <w:r>
        <w:t>((</w:t>
      </w:r>
      <w:r>
        <w:rPr>
          <w:strike/>
        </w:rPr>
        <w:t xml:space="preserve">in addition to any unused time of the evaluation under RCW 10.77.060. The court shall compute this total period and include its computation in the order. The fourteen-day period plus any unused time of the evaluation under RCW 10.77.060 shall</w:t>
      </w:r>
      <w:r>
        <w:t>))</w:t>
      </w:r>
      <w:r>
        <w:rPr/>
        <w:t xml:space="preserve"> </w:t>
      </w:r>
      <w:r>
        <w:rPr>
          <w:u w:val="single"/>
        </w:rPr>
        <w:t xml:space="preserve">if the defendant is ordered to receive inpatient competency restoration, or shall not exceed ninety days if the defendant is ordered to receive outpatient competency restoration. This period must</w:t>
      </w:r>
      <w:r>
        <w:rPr/>
        <w:t xml:space="preserve"> be considered to include only the time the defendant is actually at the facility and shall be in addition to reasonable time for transport to or from the facility</w:t>
      </w:r>
      <w:r>
        <w:t>((</w:t>
      </w:r>
      <w:r>
        <w:rPr>
          <w:strike/>
        </w:rPr>
        <w:t xml:space="preserve">;</w:t>
      </w:r>
    </w:p>
    <w:p>
      <w:pPr>
        <w:spacing w:before="0" w:after="0" w:line="408" w:lineRule="exact"/>
        <w:ind w:left="0" w:right="0" w:firstLine="576"/>
        <w:jc w:val="left"/>
      </w:pPr>
      <w:r>
        <w:rPr>
          <w:strike/>
        </w:rPr>
        <w:t xml:space="preserve">(iii) May alternatively order that the defendant be placed on conditional release for up to ninety days for mental health treatment and restoration of competency; or</w:t>
      </w:r>
    </w:p>
    <w:p>
      <w:pPr>
        <w:spacing w:before="0" w:after="0" w:line="408" w:lineRule="exact"/>
        <w:ind w:left="0" w:right="0" w:firstLine="576"/>
        <w:jc w:val="left"/>
      </w:pPr>
      <w:r>
        <w:rPr>
          <w:strike/>
        </w:rPr>
        <w:t xml:space="preserve">(iv) May order any combination of this subsection</w:t>
      </w:r>
      <w:r>
        <w:t>))</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has determined or the parties agree that the defendant is unlikely to regain competency, the court may dismiss the charges without prejudice without ordering the defendant to undergo restoration treatment, in which case the court shall order that the defendant be referred for evaluation for civil commitment in the manner provided in </w:t>
      </w:r>
      <w:r>
        <w:t>((</w:t>
      </w:r>
      <w:r>
        <w:rPr>
          <w:strike/>
        </w:rPr>
        <w:t xml:space="preserve">(c)</w:t>
      </w:r>
      <w:r>
        <w:t>))</w:t>
      </w:r>
      <w:r>
        <w:rPr/>
        <w:t xml:space="preserve"> </w:t>
      </w:r>
      <w:r>
        <w:rPr>
          <w:u w:val="single"/>
        </w:rPr>
        <w:t xml:space="preserve">(d)</w:t>
      </w:r>
      <w:r>
        <w:rPr/>
        <w:t xml:space="preserve"> of this subsection.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(i)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(ii) If the defendant was in custody and not on conditional release at the time of dismissal, the defendant shall be detained and sent to an evaluation and treatment facility for up to seventy-two hours, excluding Saturdays, Sundays, and holidays, for evaluation for purposes of filing a petition under chapter 71.05 RCW. The seventy-two hour period shall commence upon the next nonholiday weekday following the court order and shall run to the end of the last nonholiday weekday within the seventy-two-hour period.</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If the defendant is charged with a nonfelony crime that is not a serious offense as defined in RCW 10.77.092:</w:t>
      </w:r>
    </w:p>
    <w:p>
      <w:pPr>
        <w:spacing w:before="0" w:after="0" w:line="408" w:lineRule="exact"/>
        <w:ind w:left="0" w:right="0" w:firstLine="576"/>
        <w:jc w:val="left"/>
      </w:pPr>
      <w:r>
        <w:rPr/>
        <w:t xml:space="preserve">The court may stay or dismiss proceedings and detain the defendant for sufficient time to allow the designated crisis responder to evaluate the defendant and consider initial detention proceedings under chapter 71.05 RCW. The court must give notice to all parties at least twenty-four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forensic navigators are employed or contracted by the Department of Social and Health Services (DSHS) as opposed to authorized by DSHS. Clarifies that a court may order inpatient or outpatient competency restoration based on a recommendation by a forensic navigator and input from the parties, as opposed to only by recommendation from a competency evaluation. Changes the agency authorized to set conditions of participation for outpatient restoration from DSHS to the Health Care Authority. Makes changes to conditions of participation by requiring medication management instead of medication monitoring and modifying the regular urinalysis requirement to only as clinically appropriate. Clarifies that the time period allowed for inpatient competency restoration after a revocation from outpatient restoration is for no longer than the remaining time period authorized in the original court order, in addition to reasonable time for transport to or from the facility. Reinstates language that authorizes a court to place a defendant under the guidance and control of a professional person for outpatient competency restoration. Reinstates language that allows parties to stipulate that a defendant is unlikely to regain competency. Provides that a court must schedule a hearing on a prosecutor's motion for misdemeanor competency restoration within 7 days. Removes language authorizing a court to order a combination of inpatient and outpatient restoration. Makes a technical correction related to the administration of injectable medication.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23f7e676d24c1e" /></Relationships>
</file>