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3d4c537f394533" /></Relationships>
</file>

<file path=word/document.xml><?xml version="1.0" encoding="utf-8"?>
<w:document xmlns:w="http://schemas.openxmlformats.org/wordprocessingml/2006/main">
  <w:body>
    <w:p>
      <w:r>
        <w:rPr>
          <w:b/>
        </w:rPr>
        <w:r>
          <w:rPr/>
          <w:t xml:space="preserve">5444-S2.E</w:t>
        </w:r>
      </w:r>
      <w:r>
        <w:rPr>
          <w:b/>
        </w:rPr>
        <w:t xml:space="preserve"> </w:t>
        <w:t xml:space="preserve">AMH</w:t>
      </w:r>
      <w:r>
        <w:rPr>
          <w:b/>
        </w:rPr>
        <w:t xml:space="preserve"> </w:t>
        <w:r>
          <w:rPr/>
          <w:t xml:space="preserve">ENGR</w:t>
        </w:r>
      </w:r>
      <w:r>
        <w:rPr>
          <w:b/>
        </w:rPr>
        <w:t xml:space="preserve"> </w:t>
        <w:r>
          <w:rPr/>
          <w:t xml:space="preserve">H2884.E</w:t>
        </w:r>
      </w:r>
      <w:r>
        <w:rPr>
          <w:b/>
        </w:rPr>
        <w:t xml:space="preserve"> - NOT FOR FLOOR USE</w:t>
      </w:r>
    </w:p>
    <w:p>
      <w:pPr>
        <w:ind w:left="0" w:right="0" w:firstLine="576"/>
      </w:pPr>
    </w:p>
    <w:p>
      <w:pPr>
        <w:spacing w:before="480" w:after="0" w:line="408" w:lineRule="exact"/>
      </w:pPr>
      <w:r>
        <w:rPr>
          <w:b/>
          <w:u w:val="single"/>
        </w:rPr>
        <w:t xml:space="preserve">E2SSB 5444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4/15/19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there has been a nationwide increase in the number of individuals with behavioral health disorders in the criminal justice system. The legislature also recognizes that reforms must be made to our own behavioral health systems and services to meet the increasing demands in our state, to provide timely competency evaluations and restoration services, and to comply with federal court orders issued in </w:t>
      </w:r>
      <w:r>
        <w:rPr>
          <w:i/>
        </w:rPr>
        <w:t xml:space="preserve">A.B., by and through Trueblood, et al., v. DSHS, et al.</w:t>
      </w:r>
      <w:r>
        <w:rPr/>
        <w:t xml:space="preserve">, No. 15-35462 ("Trueblood"). The legislature acknowledges that these reforms will require the support of a broad range of stakeholders, including local law enforcement, prosecuting attorneys, defense attorneys, community members, and health care providers. The legislature further acknowledges the significant efforts of the parties to the Trueblood litigation to establish a roadmap and framework within their settlement agreement for proposed systemic reforms to the forensic mental health care system. It is the intent of the legislature to enact appropriate reforms consistent with the goals agreed to in the Trueblood settlement agreement, to continue to engage with stakeholders and community partners to address the needs of this vulnerable population, and to ensure that the public safety needs of our communities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the limitations described in this section, a court may appoint an impartial forensic navigator employed by or contracted by the department to assist individuals who have been referred for competency evaluation.</w:t>
      </w:r>
    </w:p>
    <w:p>
      <w:pPr>
        <w:spacing w:before="0" w:after="0" w:line="408" w:lineRule="exact"/>
        <w:ind w:left="0" w:right="0" w:firstLine="576"/>
        <w:jc w:val="left"/>
      </w:pPr>
      <w:r>
        <w:rPr/>
        <w:t xml:space="preserve">(2) A forensic navigator must assist the individual to access services related to diversion and community outpatient competency restoration. The forensic navigator must assist the individual, prosecuting attorney, defense attorney, and the court to understand the options available to the individual and be accountable as an officer of the court for faithful execution of the responsibilities outlined in this section.</w:t>
      </w:r>
    </w:p>
    <w:p>
      <w:pPr>
        <w:spacing w:before="0" w:after="0" w:line="408" w:lineRule="exact"/>
        <w:ind w:left="0" w:right="0" w:firstLine="576"/>
        <w:jc w:val="left"/>
      </w:pPr>
      <w:r>
        <w:rPr/>
        <w:t xml:space="preserve">(3) The duties of the forensic navigator include, but are not limited to, the following:</w:t>
      </w:r>
    </w:p>
    <w:p>
      <w:pPr>
        <w:spacing w:before="0" w:after="0" w:line="408" w:lineRule="exact"/>
        <w:ind w:left="0" w:right="0" w:firstLine="576"/>
        <w:jc w:val="left"/>
      </w:pPr>
      <w:r>
        <w:rPr/>
        <w:t xml:space="preserve">(a) To collect relevant information about the individual, including behavioral health services and supports available to the individual that might support placement in outpatient restoration, diversion, or some combination of these;</w:t>
      </w:r>
    </w:p>
    <w:p>
      <w:pPr>
        <w:spacing w:before="0" w:after="0" w:line="408" w:lineRule="exact"/>
        <w:ind w:left="0" w:right="0" w:firstLine="576"/>
        <w:jc w:val="left"/>
      </w:pPr>
      <w:r>
        <w:rPr/>
        <w:t xml:space="preserve">(b) To meet with, interview, and observe the individual;</w:t>
      </w:r>
    </w:p>
    <w:p>
      <w:pPr>
        <w:spacing w:before="0" w:after="0" w:line="408" w:lineRule="exact"/>
        <w:ind w:left="0" w:right="0" w:firstLine="576"/>
        <w:jc w:val="left"/>
      </w:pPr>
      <w:r>
        <w:rPr/>
        <w:t xml:space="preserve">(c) To present information to the court in order to assist the court in understanding the treatment options available to the individual to support the entry of orders for diversion from the forensic mental health system or for community outpatient competency restoration, and to facilitate that transition; and</w:t>
      </w:r>
    </w:p>
    <w:p>
      <w:pPr>
        <w:spacing w:before="0" w:after="0" w:line="408" w:lineRule="exact"/>
        <w:ind w:left="0" w:right="0" w:firstLine="576"/>
        <w:jc w:val="left"/>
      </w:pPr>
      <w:r>
        <w:rPr/>
        <w:t xml:space="preserve">(d) When the individual is ordered to receive community outpatient restoration, to provide services to the individual including:</w:t>
      </w:r>
    </w:p>
    <w:p>
      <w:pPr>
        <w:spacing w:before="0" w:after="0" w:line="408" w:lineRule="exact"/>
        <w:ind w:left="0" w:right="0" w:firstLine="576"/>
        <w:jc w:val="left"/>
      </w:pPr>
      <w:r>
        <w:rPr/>
        <w:t xml:space="preserve">(i) Assisting the individual with attending appointments and classes relating to outpatient competency restoration;</w:t>
      </w:r>
    </w:p>
    <w:p>
      <w:pPr>
        <w:spacing w:before="0" w:after="0" w:line="408" w:lineRule="exact"/>
        <w:ind w:left="0" w:right="0" w:firstLine="576"/>
        <w:jc w:val="left"/>
      </w:pPr>
      <w:r>
        <w:rPr/>
        <w:t xml:space="preserve">(ii) Coordinating access to housing for the individual;</w:t>
      </w:r>
    </w:p>
    <w:p>
      <w:pPr>
        <w:spacing w:before="0" w:after="0" w:line="408" w:lineRule="exact"/>
        <w:ind w:left="0" w:right="0" w:firstLine="576"/>
        <w:jc w:val="left"/>
      </w:pPr>
      <w:r>
        <w:rPr/>
        <w:t xml:space="preserve">(iii) Meeting with the individual on a regular basis;</w:t>
      </w:r>
    </w:p>
    <w:p>
      <w:pPr>
        <w:spacing w:before="0" w:after="0" w:line="408" w:lineRule="exact"/>
        <w:ind w:left="0" w:right="0" w:firstLine="576"/>
        <w:jc w:val="left"/>
      </w:pPr>
      <w:r>
        <w:rPr/>
        <w:t xml:space="preserve">(iv) Providing information to the court concerning the individual's progress and compliance with court-ordered conditions of release, which may include appearing at court hearings to provide information to the court;</w:t>
      </w:r>
    </w:p>
    <w:p>
      <w:pPr>
        <w:spacing w:before="0" w:after="0" w:line="408" w:lineRule="exact"/>
        <w:ind w:left="0" w:right="0" w:firstLine="576"/>
        <w:jc w:val="left"/>
      </w:pPr>
      <w:r>
        <w:rPr/>
        <w:t xml:space="preserve">(v) Coordinating the individual's access to community case management services and mental health services;</w:t>
      </w:r>
    </w:p>
    <w:p>
      <w:pPr>
        <w:spacing w:before="0" w:after="0" w:line="408" w:lineRule="exact"/>
        <w:ind w:left="0" w:right="0" w:firstLine="576"/>
        <w:jc w:val="left"/>
      </w:pPr>
      <w:r>
        <w:rPr/>
        <w:t xml:space="preserve">(vi) Assisting the individual with obtaining prescribed medication and encouraging adherence with prescribed medication;</w:t>
      </w:r>
    </w:p>
    <w:p>
      <w:pPr>
        <w:spacing w:before="0" w:after="0" w:line="408" w:lineRule="exact"/>
        <w:ind w:left="0" w:right="0" w:firstLine="576"/>
        <w:jc w:val="left"/>
      </w:pPr>
      <w:r>
        <w:rPr/>
        <w:t xml:space="preserve">(vii) Planning for a coordinated transition of the individual to a case manager in the community behavioral health system;</w:t>
      </w:r>
    </w:p>
    <w:p>
      <w:pPr>
        <w:spacing w:before="0" w:after="0" w:line="408" w:lineRule="exact"/>
        <w:ind w:left="0" w:right="0" w:firstLine="576"/>
        <w:jc w:val="left"/>
      </w:pPr>
      <w:r>
        <w:rPr/>
        <w:t xml:space="preserve">(viii) Attempting to follow up with the individual to check whether the meeting with a community-based case manager took place;</w:t>
      </w:r>
    </w:p>
    <w:p>
      <w:pPr>
        <w:spacing w:before="0" w:after="0" w:line="408" w:lineRule="exact"/>
        <w:ind w:left="0" w:right="0" w:firstLine="576"/>
        <w:jc w:val="left"/>
      </w:pPr>
      <w:r>
        <w:rPr/>
        <w:t xml:space="preserve">(ix) When the individual is a high utilizer, attempting to connect the individual with high utilizer services; and</w:t>
      </w:r>
    </w:p>
    <w:p>
      <w:pPr>
        <w:spacing w:before="0" w:after="0" w:line="408" w:lineRule="exact"/>
        <w:ind w:left="0" w:right="0" w:firstLine="576"/>
        <w:jc w:val="left"/>
      </w:pPr>
      <w:r>
        <w:rPr/>
        <w:t xml:space="preserve">(x) Attempting to check up on the individual at least once per month for up to sixty days after coordinated transition to community behavioral health services, without duplicating the services of the community-based case manager.</w:t>
      </w:r>
    </w:p>
    <w:p>
      <w:pPr>
        <w:spacing w:before="0" w:after="0" w:line="408" w:lineRule="exact"/>
        <w:ind w:left="0" w:right="0" w:firstLine="576"/>
        <w:jc w:val="left"/>
      </w:pPr>
      <w:r>
        <w:rPr/>
        <w:t xml:space="preserve">(4) Forensic navigators may submit nonclinical recommendations to the court regarding treatment and restoration options for the individual, which the court may consider and weigh in conjunction with the recommendations of all of the parties.</w:t>
      </w:r>
    </w:p>
    <w:p>
      <w:pPr>
        <w:spacing w:before="0" w:after="0" w:line="408" w:lineRule="exact"/>
        <w:ind w:left="0" w:right="0" w:firstLine="576"/>
        <w:jc w:val="left"/>
      </w:pPr>
      <w:r>
        <w:rPr/>
        <w:t xml:space="preserve">(5) Forensic navigators shall be deemed officers of the court for the purpose of immunity from civil liability.</w:t>
      </w:r>
    </w:p>
    <w:p>
      <w:pPr>
        <w:spacing w:before="0" w:after="0" w:line="408" w:lineRule="exact"/>
        <w:ind w:left="0" w:right="0" w:firstLine="576"/>
        <w:jc w:val="left"/>
      </w:pPr>
      <w:r>
        <w:rPr/>
        <w:t xml:space="preserve">(6) The signed order for competency evaluation from the court shall serve as authority for the forensic navigator to be given access to all records held by a behavioral health, educational, or law enforcement agency or a correctional facility that relates to an individual. Information that is protected by state or federal law, including health information, shall not be entered into the court record without the consent of the individual or their defense attorney.</w:t>
      </w:r>
    </w:p>
    <w:p>
      <w:pPr>
        <w:spacing w:before="0" w:after="0" w:line="408" w:lineRule="exact"/>
        <w:ind w:left="0" w:right="0" w:firstLine="576"/>
        <w:jc w:val="left"/>
      </w:pPr>
      <w:r>
        <w:rPr/>
        <w:t xml:space="preserve">(7) Admissions made by the individual in the course of receiving services from the forensic navigator may not be used against the individual in the prosecution's case in chief.</w:t>
      </w:r>
    </w:p>
    <w:p>
      <w:pPr>
        <w:spacing w:before="0" w:after="0" w:line="408" w:lineRule="exact"/>
        <w:ind w:left="0" w:right="0" w:firstLine="576"/>
        <w:jc w:val="left"/>
      </w:pPr>
      <w:r>
        <w:rPr/>
        <w:t xml:space="preserve">(8) A court may not issue an order appointing a forensic navigator unless the department certifies that there is adequate forensic navigator capacity to provide these services at the time the order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110</w:t>
      </w:r>
      <w:r>
        <w:rPr/>
        <w:t xml:space="preserve"> and 2014 c 225 s 57 are each amended to read as follows:</w:t>
      </w:r>
    </w:p>
    <w:p>
      <w:pPr>
        <w:spacing w:before="0" w:after="0" w:line="408" w:lineRule="exact"/>
        <w:ind w:left="0" w:right="0" w:firstLine="576"/>
        <w:jc w:val="left"/>
      </w:pPr>
      <w:r>
        <w:rPr/>
        <w:t xml:space="preserve">(1) When a police officer has reasonable cause to believe that the individual has committed acts constituting a </w:t>
      </w:r>
      <w:r>
        <w:t>((</w:t>
      </w:r>
      <w:r>
        <w:rPr>
          <w:strike/>
        </w:rPr>
        <w:t xml:space="preserve">nonfelony</w:t>
      </w:r>
      <w:r>
        <w:t>))</w:t>
      </w:r>
      <w:r>
        <w:rPr/>
        <w:t xml:space="preserve"> crime </w:t>
      </w:r>
      <w:r>
        <w:t>((</w:t>
      </w:r>
      <w:r>
        <w:rPr>
          <w:strike/>
        </w:rPr>
        <w:t xml:space="preserve">that is not a serious offense as identified in RCW 10.77.092</w:t>
      </w:r>
      <w:r>
        <w:t>))</w:t>
      </w:r>
      <w:r>
        <w:rPr>
          <w:u w:val="single"/>
        </w:rPr>
        <w:t xml:space="preserve">,</w:t>
      </w:r>
      <w:r>
        <w:rPr/>
        <w:t xml:space="preserve"> and the individual is known by history or consultation with the behavioral health organization</w:t>
      </w:r>
      <w:r>
        <w:rPr>
          <w:u w:val="single"/>
        </w:rPr>
        <w:t xml:space="preserve">, managed care organization, behavioral health administrative services organization, crisis hotline, or local crisis services providers</w:t>
      </w:r>
      <w:r>
        <w:rPr/>
        <w:t xml:space="preserve"> to suffer from a mental disorder</w:t>
      </w:r>
      <w:r>
        <w:rPr>
          <w:u w:val="single"/>
        </w:rPr>
        <w:t xml:space="preserve">, in addition to existing authority under state law, as an alternative to arrest</w:t>
      </w:r>
      <w:r>
        <w:rPr/>
        <w:t xml:space="preserve">, the arresting officer </w:t>
      </w:r>
      <w:r>
        <w:t>((</w:t>
      </w:r>
      <w:r>
        <w:rPr>
          <w:strike/>
        </w:rPr>
        <w:t xml:space="preserve">may</w:t>
      </w:r>
      <w:r>
        <w:t>))</w:t>
      </w:r>
      <w:r>
        <w:rPr/>
        <w:t xml:space="preserve"> </w:t>
      </w:r>
      <w:r>
        <w:rPr>
          <w:u w:val="single"/>
        </w:rPr>
        <w:t xml:space="preserve">is authorized and encouraged to</w:t>
      </w:r>
      <w:r>
        <w:rPr/>
        <w:t xml:space="preserve">:</w:t>
      </w:r>
    </w:p>
    <w:p>
      <w:pPr>
        <w:spacing w:before="0" w:after="0" w:line="408" w:lineRule="exact"/>
        <w:ind w:left="0" w:right="0" w:firstLine="576"/>
        <w:jc w:val="left"/>
      </w:pPr>
      <w:r>
        <w:rPr/>
        <w:t xml:space="preserve">(a) Take the individual to a crisis stabilization unit as defined in RCW 71.05.020</w:t>
      </w:r>
      <w:r>
        <w:t>((</w:t>
      </w:r>
      <w:r>
        <w:rPr>
          <w:strike/>
        </w:rPr>
        <w:t xml:space="preserve">(6)</w:t>
      </w:r>
      <w:r>
        <w:t>))</w:t>
      </w:r>
      <w:r>
        <w:rPr/>
        <w:t xml:space="preserve">. Individuals delivered to a crisis stabilization unit pursuant to this section may be held by the facility for a period of up to twelve hours. The individual must be examined by a mental health professional within three hours of arrival;</w:t>
      </w:r>
    </w:p>
    <w:p>
      <w:pPr>
        <w:spacing w:before="0" w:after="0" w:line="408" w:lineRule="exact"/>
        <w:ind w:left="0" w:right="0" w:firstLine="576"/>
        <w:jc w:val="left"/>
      </w:pPr>
      <w:r>
        <w:rPr/>
        <w:t xml:space="preserve">(b) Take the individual to a triage facility as defined in RCW 71.05.020. An individual delivered to a triage facility which has elected to operate as an involuntary facility may be held up to a period of twelve hours. The individual must be examined by a mental health professional within three hours of arrival;</w:t>
      </w:r>
    </w:p>
    <w:p>
      <w:pPr>
        <w:spacing w:before="0" w:after="0" w:line="408" w:lineRule="exact"/>
        <w:ind w:left="0" w:right="0" w:firstLine="576"/>
        <w:jc w:val="left"/>
      </w:pPr>
      <w:r>
        <w:rPr/>
        <w:t xml:space="preserve">(c) Refer the individual to a mental health professional for evaluation for initial detention and proceeding under chapter 71.05 RCW; or</w:t>
      </w:r>
    </w:p>
    <w:p>
      <w:pPr>
        <w:spacing w:before="0" w:after="0" w:line="408" w:lineRule="exact"/>
        <w:ind w:left="0" w:right="0" w:firstLine="576"/>
        <w:jc w:val="left"/>
      </w:pPr>
      <w:r>
        <w:rPr/>
        <w:t xml:space="preserve">(d) Release the individual upon agreement to voluntary participation in outpatient treatment.</w:t>
      </w:r>
    </w:p>
    <w:p>
      <w:pPr>
        <w:spacing w:before="0" w:after="0" w:line="408" w:lineRule="exact"/>
        <w:ind w:left="0" w:right="0" w:firstLine="576"/>
        <w:jc w:val="left"/>
      </w:pPr>
      <w:r>
        <w:rPr/>
        <w:t xml:space="preserve">(2) If the individual is released to the community, the mental health provider shall </w:t>
      </w:r>
      <w:r>
        <w:rPr>
          <w:u w:val="single"/>
        </w:rPr>
        <w:t xml:space="preserve">make reasonable efforts to</w:t>
      </w:r>
      <w:r>
        <w:rPr/>
        <w:t xml:space="preserve"> inform the arresting officer of the </w:t>
      </w:r>
      <w:r>
        <w:rPr>
          <w:u w:val="single"/>
        </w:rPr>
        <w:t xml:space="preserve">planned</w:t>
      </w:r>
      <w:r>
        <w:rPr/>
        <w:t xml:space="preserve"> release </w:t>
      </w:r>
      <w:r>
        <w:t>((</w:t>
      </w:r>
      <w:r>
        <w:rPr>
          <w:strike/>
        </w:rPr>
        <w:t xml:space="preserve">within a reasonable period of time after the</w:t>
      </w:r>
      <w:r>
        <w:t>))</w:t>
      </w:r>
      <w:r>
        <w:rPr/>
        <w:t xml:space="preserve"> </w:t>
      </w:r>
      <w:r>
        <w:rPr>
          <w:u w:val="single"/>
        </w:rPr>
        <w:t xml:space="preserve">prior to</w:t>
      </w:r>
      <w:r>
        <w:rPr/>
        <w:t xml:space="preserve"> release if the arresting officer has specifically requested notification and provided contact information to the provider.</w:t>
      </w:r>
    </w:p>
    <w:p>
      <w:pPr>
        <w:spacing w:before="0" w:after="0" w:line="408" w:lineRule="exact"/>
        <w:ind w:left="0" w:right="0" w:firstLine="576"/>
        <w:jc w:val="left"/>
      </w:pPr>
      <w:r>
        <w:rPr/>
        <w:t xml:space="preserve">(3) In deciding whether to refer the individual to treatment under this section, the police officer </w:t>
      </w:r>
      <w:r>
        <w:t>((</w:t>
      </w:r>
      <w:r>
        <w:rPr>
          <w:strike/>
        </w:rPr>
        <w:t xml:space="preserve">shall</w:t>
      </w:r>
      <w:r>
        <w:t>))</w:t>
      </w:r>
      <w:r>
        <w:rPr/>
        <w:t xml:space="preserve"> </w:t>
      </w:r>
      <w:r>
        <w:rPr>
          <w:u w:val="single"/>
        </w:rPr>
        <w:t xml:space="preserve">must</w:t>
      </w:r>
      <w:r>
        <w:rPr/>
        <w:t xml:space="preserve"> be guided by </w:t>
      </w:r>
      <w:r>
        <w:t>((</w:t>
      </w:r>
      <w:r>
        <w:rPr>
          <w:strike/>
        </w:rPr>
        <w:t xml:space="preserve">standards</w:t>
      </w:r>
      <w:r>
        <w:t>))</w:t>
      </w:r>
      <w:r>
        <w:rPr/>
        <w:t xml:space="preserve"> </w:t>
      </w:r>
      <w:r>
        <w:rPr>
          <w:u w:val="single"/>
        </w:rPr>
        <w:t xml:space="preserve">local law enforcement diversion guidelines for behavioral health developed and</w:t>
      </w:r>
      <w:r>
        <w:rPr/>
        <w:t xml:space="preserve"> mutually agreed upon with the prosecuting authority</w:t>
      </w:r>
      <w:r>
        <w:t>((</w:t>
      </w:r>
      <w:r>
        <w:rPr>
          <w:strike/>
        </w:rPr>
        <w:t xml:space="preserve">, which</w:t>
      </w:r>
      <w:r>
        <w:t>))</w:t>
      </w:r>
      <w:r>
        <w:rPr/>
        <w:t xml:space="preserve"> </w:t>
      </w:r>
      <w:r>
        <w:rPr>
          <w:u w:val="single"/>
        </w:rPr>
        <w:t xml:space="preserve">with an opportunity for consultation and comment by the defense bar and disability community. These guidelines must</w:t>
      </w:r>
      <w:r>
        <w:rPr/>
        <w:t xml:space="preserve"> address, at a minimum, the length, seriousness, and recency of the known criminal history of the individual, the mental health history of the individual, </w:t>
      </w:r>
      <w:r>
        <w:t>((</w:t>
      </w:r>
      <w:r>
        <w:rPr>
          <w:strike/>
        </w:rPr>
        <w:t xml:space="preserve">where</w:t>
      </w:r>
      <w:r>
        <w:t>))</w:t>
      </w:r>
      <w:r>
        <w:rPr/>
        <w:t xml:space="preserve"> </w:t>
      </w:r>
      <w:r>
        <w:rPr>
          <w:u w:val="single"/>
        </w:rPr>
        <w:t xml:space="preserve">if</w:t>
      </w:r>
      <w:r>
        <w:rPr/>
        <w:t xml:space="preserve"> available, </w:t>
      </w:r>
      <w:r>
        <w:rPr>
          <w:u w:val="single"/>
        </w:rPr>
        <w:t xml:space="preserve">the opinions of a mental health professional, if available,</w:t>
      </w:r>
      <w:r>
        <w:rPr/>
        <w:t xml:space="preserve"> and the circumstances surrounding the commission of the alleged offense. </w:t>
      </w:r>
      <w:r>
        <w:rPr>
          <w:u w:val="single"/>
        </w:rPr>
        <w:t xml:space="preserve">The guidelines must include a process for clearing outstanding warrants or referring the individual for assistance in clearing outstanding warrants, if any, and issuing a new court date, if appropriate, without booking or incarcerating the individual or disqualifying him or her from referral to treatment under this section, and define the circumstances under which such action is permissible.</w:t>
      </w:r>
    </w:p>
    <w:p>
      <w:pPr>
        <w:spacing w:before="0" w:after="0" w:line="408" w:lineRule="exact"/>
        <w:ind w:left="0" w:right="0" w:firstLine="576"/>
        <w:jc w:val="left"/>
      </w:pPr>
      <w:r>
        <w:rPr/>
        <w:t xml:space="preserve">(4) Any agreement to participate in treatment shall not require individuals to stipulate to any of the alleged facts regarding the criminal activity as a prerequisite to participation in a mental health treatment alternative. The agreement is inadmissible in any criminal or civil proceeding. The agreement does not create immunity from prosecution for the alleged criminal activity.</w:t>
      </w:r>
    </w:p>
    <w:p>
      <w:pPr>
        <w:spacing w:before="0" w:after="0" w:line="408" w:lineRule="exact"/>
        <w:ind w:left="0" w:right="0" w:firstLine="576"/>
        <w:jc w:val="left"/>
      </w:pPr>
      <w:r>
        <w:rPr/>
        <w:t xml:space="preserve">(5) If an individual violates such agreement and the mental health treatment alternative is no longer appropriate:</w:t>
      </w:r>
    </w:p>
    <w:p>
      <w:pPr>
        <w:spacing w:before="0" w:after="0" w:line="408" w:lineRule="exact"/>
        <w:ind w:left="0" w:right="0" w:firstLine="576"/>
        <w:jc w:val="left"/>
      </w:pPr>
      <w:r>
        <w:rPr/>
        <w:t xml:space="preserve">(a) The mental health provider shall inform the referring law enforcement agency of the violation; and</w:t>
      </w:r>
    </w:p>
    <w:p>
      <w:pPr>
        <w:spacing w:before="0" w:after="0" w:line="408" w:lineRule="exact"/>
        <w:ind w:left="0" w:right="0" w:firstLine="576"/>
        <w:jc w:val="left"/>
      </w:pPr>
      <w:r>
        <w:rPr/>
        <w:t xml:space="preserve">(b) The original charges may be filed or referred to the prosecutor, as appropriate, and the matter may proceed accordingly.</w:t>
      </w:r>
    </w:p>
    <w:p>
      <w:pPr>
        <w:spacing w:before="0" w:after="0" w:line="408" w:lineRule="exact"/>
        <w:ind w:left="0" w:right="0" w:firstLine="576"/>
        <w:jc w:val="left"/>
      </w:pPr>
      <w:r>
        <w:rPr/>
        <w:t xml:space="preserve">(6) The police officer is immune from liability for any good faith conduct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2015 1st sp.s. c 7 s 5 are each amended to read as follows:</w:t>
      </w:r>
    </w:p>
    <w:p>
      <w:pPr>
        <w:spacing w:before="0" w:after="0" w:line="408" w:lineRule="exact"/>
        <w:ind w:left="0" w:right="0" w:firstLine="576"/>
        <w:jc w:val="left"/>
      </w:pPr>
      <w:r>
        <w:rPr/>
        <w:t xml:space="preserve">(1)(a)(i) If the defendant is charged with a felony and determined to be incompetent, until he or she has regained the competency necessary to understand the proceedings against him or her and assist in his or her own defense, but in any event for a period of no longer than ninety days, the court</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s</w:t>
      </w:r>
      <w:r>
        <w:rPr/>
        <w:t xml:space="preserve">hall commit the defendant to the custody of the secretary </w:t>
      </w:r>
      <w:r>
        <w:t>((</w:t>
      </w:r>
      <w:r>
        <w:rPr>
          <w:strike/>
        </w:rPr>
        <w:t xml:space="preserve">who shall place such defendant in an appropriate facility of the department for evaluation and treatment; or</w:t>
      </w:r>
    </w:p>
    <w:p>
      <w:pPr>
        <w:spacing w:before="0" w:after="0" w:line="408" w:lineRule="exact"/>
        <w:ind w:left="0" w:right="0" w:firstLine="576"/>
        <w:jc w:val="left"/>
      </w:pPr>
      <w:r>
        <w:rPr>
          <w:strike/>
        </w:rPr>
        <w:t xml:space="preserve">(B)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r>
        <w:t>))</w:t>
      </w:r>
      <w:r>
        <w:rPr/>
        <w:t xml:space="preserve"> </w:t>
      </w:r>
      <w:r>
        <w:rPr>
          <w:u w:val="single"/>
        </w:rPr>
        <w:t xml:space="preserve">for competency restoration. Based on a recommendation from a forensic navigator and input from the parties, the court may order the defendant to receive inpatient competency restoration or outpatient competency restoration.</w:t>
      </w:r>
    </w:p>
    <w:p>
      <w:pPr>
        <w:spacing w:before="0" w:after="0" w:line="408" w:lineRule="exact"/>
        <w:ind w:left="0" w:right="0" w:firstLine="576"/>
        <w:jc w:val="left"/>
      </w:pPr>
      <w:r>
        <w:rPr>
          <w:u w:val="single"/>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u w:val="single"/>
        </w:rPr>
        <w:t xml:space="preserve">(I) Adhere to medications or receive prescribed intramuscular medication; and</w:t>
      </w:r>
    </w:p>
    <w:p>
      <w:pPr>
        <w:spacing w:before="0" w:after="0" w:line="408" w:lineRule="exact"/>
        <w:ind w:left="0" w:right="0" w:firstLine="576"/>
        <w:jc w:val="left"/>
      </w:pPr>
      <w:r>
        <w:rPr>
          <w:u w:val="single"/>
        </w:rPr>
        <w:t xml:space="preserve">(II) Abstain from alcohol and unprescribed drugs.</w:t>
      </w:r>
    </w:p>
    <w:p>
      <w:pPr>
        <w:spacing w:before="0" w:after="0" w:line="408" w:lineRule="exact"/>
        <w:ind w:left="0" w:right="0" w:firstLine="576"/>
        <w:jc w:val="left"/>
      </w:pPr>
      <w:r>
        <w:rPr>
          <w:u w:val="single"/>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u w:val="single"/>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and regular urinalysis testing for defendants who have a current substance use disorder diagnosis.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u w:val="single"/>
        </w:rPr>
        <w:t xml:space="preserve">(D) If a defendant fails to comply with the restrictions of the outpatient restoration program such that restoration is no longer appropriate in that setting or the defendant is no longer clinically appropriate for outpatient competency restoration, the department shall remove the defendant from the outpatient restoration program and place the defendant instead in an appropriate facility of the department for inpatient competency restoration for no longer than the time allowed as if the defendant had been initially placed into inpatient competency restoration, in addition to reasonable time for transport to or from the facility. The department shall notify the court and parties of the change in placement before the close of the next judicial day. The court shall schedule a hearing within five days to review the placement and conditions of release of the defendant and issue appropriate orders. The standard of proof shall be a preponderance of the evidence, and the court may in its discretion render its decision based on written submissions, live testimony, or remote testimony.</w:t>
      </w:r>
    </w:p>
    <w:p>
      <w:pPr>
        <w:spacing w:before="0" w:after="0" w:line="408" w:lineRule="exact"/>
        <w:ind w:left="0" w:right="0" w:firstLine="576"/>
        <w:jc w:val="left"/>
      </w:pPr>
      <w:r>
        <w:rPr>
          <w:u w:val="single"/>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(ii) The ninety day period for </w:t>
      </w:r>
      <w:r>
        <w:t>((</w:t>
      </w:r>
      <w:r>
        <w:rPr>
          <w:strike/>
        </w:rPr>
        <w:t xml:space="preserve">evaluation and treatment</w:t>
      </w:r>
      <w:r>
        <w:t>))</w:t>
      </w:r>
      <w:r>
        <w:rPr/>
        <w:t xml:space="preserve"> </w:t>
      </w:r>
      <w:r>
        <w:rPr>
          <w:u w:val="single"/>
        </w:rPr>
        <w:t xml:space="preserve">competency restoration</w:t>
      </w:r>
      <w:r>
        <w:rPr/>
        <w:t xml:space="preserve"> under this subsection (1)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(b) For a defendant whose highest charge is a class C felony, or a class B felony that is not classified as violent under RCW 9.94A.030, the maximum time allowed for the initial period of commitment for competency restoration is forty-five days. The forty-five 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(c) If the court determines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subsection (4) of this section.</w:t>
      </w:r>
    </w:p>
    <w:p>
      <w:pPr>
        <w:spacing w:before="0" w:after="0" w:line="408" w:lineRule="exact"/>
        <w:ind w:left="0" w:right="0" w:firstLine="576"/>
        <w:jc w:val="left"/>
      </w:pPr>
      <w:r>
        <w:rPr/>
        <w:t xml:space="preserve">(2) On or before expiration of the initial period of commitment under subsection (1) of this section the court shall conduct a hearing, at which it shall determine whether or not the defendant is incompetent.</w:t>
      </w:r>
    </w:p>
    <w:p>
      <w:pPr>
        <w:spacing w:before="0" w:after="0" w:line="408" w:lineRule="exact"/>
        <w:ind w:left="0" w:right="0" w:firstLine="576"/>
        <w:jc w:val="left"/>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(4) For persons charged with a felony, at the hearing upon the expiration of the second restoration period or at the end of the first restoration period in the case of a defendant with a developmental disability, if the jury or court finds that the defendant is incompetent, or if the court or jury at any stage finds that the defendant is incompetent and the court determines that the defendant is unlikely to regain competency,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The six-month period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2016 sp.s. c 29 s 411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u w:val="single"/>
        </w:rPr>
        <w:t xml:space="preserve">(a) Shall dismiss the proceedings without prejudice and detain the defendant for sufficient time to allow the designated crisis responder to evaluate the defendant and consider initial detention proceedings under chapter 71.05 RCW, unless the prosecutor objects to the dismissal and provides notice of a motion for an order for competency restoration, in which case the court shall schedule a hearing within seven days to determine whether to enter an order of competency restoration.</w:t>
      </w:r>
    </w:p>
    <w:p>
      <w:pPr>
        <w:spacing w:before="0" w:after="0" w:line="408" w:lineRule="exact"/>
        <w:ind w:left="0" w:right="0" w:firstLine="576"/>
        <w:jc w:val="left"/>
      </w:pPr>
      <w:r>
        <w:rPr>
          <w:u w:val="single"/>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or not competency restoration treatment is likely to be successful, in addition to the factors listed under RCW 10.77.092. If the prosecuting attorney proves by a preponderance of the evidence that there is a compelling state interest in ordering competency restoration, then the court shall order competency restoration in accordance with subsection (2)(a) of this section.</w:t>
      </w:r>
    </w:p>
    <w:p>
      <w:pPr>
        <w:spacing w:before="0" w:after="0" w:line="408" w:lineRule="exact"/>
        <w:ind w:left="0" w:right="0" w:firstLine="576"/>
        <w:jc w:val="left"/>
      </w:pPr>
      <w:r>
        <w:rPr>
          <w:u w:val="single"/>
        </w:rPr>
        <w:t xml:space="preserve">(2)(a) If a court finds pursuant to subsection (1)(b) of this section that there is a compelling state interest in pursuing competency restoration treatment, then the court</w:t>
      </w:r>
      <w:r>
        <w:rPr/>
        <w:t xml:space="preserve"> </w:t>
      </w:r>
      <w:r>
        <w:t>((</w:t>
      </w:r>
      <w:r>
        <w:rPr>
          <w:strike/>
        </w:rPr>
        <w:t xml:space="preserve">(i)</w:t>
      </w:r>
      <w:r>
        <w:t>))</w:t>
      </w:r>
      <w:r>
        <w:rPr/>
        <w:t xml:space="preserve"> </w:t>
      </w:r>
      <w:r>
        <w:rPr>
          <w:u w:val="single"/>
        </w:rPr>
        <w:t xml:space="preserve">s</w:t>
      </w:r>
      <w:r>
        <w:rPr/>
        <w:t xml:space="preserve">hall commit the defendant to the custody of the secretary </w:t>
      </w:r>
      <w:r>
        <w:t>((</w:t>
      </w:r>
      <w:r>
        <w:rPr>
          <w:strike/>
        </w:rPr>
        <w:t xml:space="preserve">who shall place such defendant in an appropriate facility of the department for evaluation and treatment;</w:t>
      </w:r>
    </w:p>
    <w:p>
      <w:pPr>
        <w:spacing w:before="0" w:after="0" w:line="408" w:lineRule="exact"/>
        <w:ind w:left="0" w:right="0" w:firstLine="576"/>
        <w:jc w:val="left"/>
      </w:pPr>
      <w:r>
        <w:rPr>
          <w:strike/>
        </w:rPr>
        <w:t xml:space="preserve">(ii)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r>
        <w:t>))</w:t>
      </w:r>
      <w:r>
        <w:rPr/>
        <w:t xml:space="preserve"> </w:t>
      </w:r>
      <w:r>
        <w:rPr>
          <w:u w:val="single"/>
        </w:rPr>
        <w:t xml:space="preserve">for competency restoration. Based on a recommendation from a forensic navigator and input from the parties, the court may order the defendant to receive inpatient competency restoration or outpatient competency restoration.</w:t>
      </w:r>
    </w:p>
    <w:p>
      <w:pPr>
        <w:spacing w:before="0" w:after="0" w:line="408" w:lineRule="exact"/>
        <w:ind w:left="0" w:right="0" w:firstLine="576"/>
        <w:jc w:val="left"/>
      </w:pPr>
      <w:r>
        <w:rPr>
          <w:u w:val="single"/>
        </w:rPr>
        <w:t xml:space="preserve">(i) To be eligible for an order for outpatient competency restoration, a defendant must be clinically appropriate and be willing to:</w:t>
      </w:r>
    </w:p>
    <w:p>
      <w:pPr>
        <w:spacing w:before="0" w:after="0" w:line="408" w:lineRule="exact"/>
        <w:ind w:left="0" w:right="0" w:firstLine="576"/>
        <w:jc w:val="left"/>
      </w:pPr>
      <w:r>
        <w:rPr>
          <w:u w:val="single"/>
        </w:rPr>
        <w:t xml:space="preserve">(A) Adhere to medications or receive prescribed intramuscular medication; and</w:t>
      </w:r>
    </w:p>
    <w:p>
      <w:pPr>
        <w:spacing w:before="0" w:after="0" w:line="408" w:lineRule="exact"/>
        <w:ind w:left="0" w:right="0" w:firstLine="576"/>
        <w:jc w:val="left"/>
      </w:pPr>
      <w:r>
        <w:rPr>
          <w:u w:val="single"/>
        </w:rPr>
        <w:t xml:space="preserve">(B) Abstain from alcohol and unprescribed drugs.</w:t>
      </w:r>
    </w:p>
    <w:p>
      <w:pPr>
        <w:spacing w:before="0" w:after="0" w:line="408" w:lineRule="exact"/>
        <w:ind w:left="0" w:right="0" w:firstLine="576"/>
        <w:jc w:val="left"/>
      </w:pPr>
      <w:r>
        <w:rPr>
          <w:u w:val="single"/>
        </w:rPr>
        <w:t xml:space="preserve">(ii) If the court orders inpatient competency restoration, the department shall place the defendant in an appropriate facility of the department for competency restoration under (b) of this subsection.</w:t>
      </w:r>
    </w:p>
    <w:p>
      <w:pPr>
        <w:spacing w:before="0" w:after="0" w:line="408" w:lineRule="exact"/>
        <w:ind w:left="0" w:right="0" w:firstLine="576"/>
        <w:jc w:val="left"/>
      </w:pPr>
      <w:r>
        <w:rPr>
          <w:u w:val="single"/>
        </w:rPr>
        <w:t xml:space="preserve">(iii)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and regular urinalysis testing for defendants who have a current substance use disorder diagnosis.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u w:val="single"/>
        </w:rPr>
        <w:t xml:space="preserve">(iv) If a defendant fails to comply with the restrictions of the outpatient competency restoration program such that restoration is no longer appropriate in that setting or the defendant is no longer clinically appropriate for outpatient competency restoration, the department shall remove the defendant from the outpatient restoration program. The department shall place the defendant instead in an appropriate facility of the department for inpatient competency restoration for no longer than twenty-nine days regardless of any time spent in outpatient competency restoration, in addition to reasonable time for transport to or from the facility. The department shall notify the court and parties of the change in placement before the close of the next judicial day. The court shall schedule a hearing within five days to review the placement and conditions of release of the defendant and issue appropriate orders. The standard of proof shall be a preponderance of the evidence, and the court may in its discretion render its decision based on written submissions, live testimony, or remote testimony.</w:t>
      </w:r>
    </w:p>
    <w:p>
      <w:pPr>
        <w:spacing w:before="0" w:after="0" w:line="408" w:lineRule="exact"/>
        <w:ind w:left="0" w:right="0" w:firstLine="576"/>
        <w:jc w:val="left"/>
      </w:pPr>
      <w:r>
        <w:rPr>
          <w:u w:val="single"/>
        </w:rPr>
        <w:t xml:space="preserve">(v)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u w:val="single"/>
        </w:rPr>
        <w:t xml:space="preserve">(b)</w:t>
      </w:r>
      <w:r>
        <w:rPr/>
        <w:t xml:space="preserve"> The placement under (a) </w:t>
      </w:r>
      <w:r>
        <w:t>((</w:t>
      </w:r>
      <w:r>
        <w:rPr>
          <w:strike/>
        </w:rPr>
        <w:t xml:space="preserve">(i) and (ii)</w:t>
      </w:r>
      <w:r>
        <w:t>))</w:t>
      </w:r>
      <w:r>
        <w:rPr/>
        <w:t xml:space="preserve"> of this subsection shall not exceed </w:t>
      </w:r>
      <w:r>
        <w:t>((</w:t>
      </w:r>
      <w:r>
        <w:rPr>
          <w:strike/>
        </w:rPr>
        <w:t xml:space="preserve">fourteen</w:t>
      </w:r>
      <w:r>
        <w:t>))</w:t>
      </w:r>
      <w:r>
        <w:rPr/>
        <w:t xml:space="preserve"> </w:t>
      </w:r>
      <w:r>
        <w:rPr>
          <w:u w:val="single"/>
        </w:rPr>
        <w:t xml:space="preserve">twenty-nine</w:t>
      </w:r>
      <w:r>
        <w:rPr/>
        <w:t xml:space="preserve"> days </w:t>
      </w:r>
      <w:r>
        <w:t>((</w:t>
      </w:r>
      <w:r>
        <w:rPr>
          <w:strike/>
        </w:rPr>
        <w:t xml:space="preserve">in addition to any unused time of the evaluation under RCW 10.77.060. The court shall compute this total period and include its computation in the order. The fourteen-day period plus any unused time of the evaluation under RCW 10.77.060 shall</w:t>
      </w:r>
      <w:r>
        <w:t>))</w:t>
      </w:r>
      <w:r>
        <w:rPr/>
        <w:t xml:space="preserve"> </w:t>
      </w:r>
      <w:r>
        <w:rPr>
          <w:u w:val="single"/>
        </w:rPr>
        <w:t xml:space="preserve">if the defendant is ordered to receive inpatient competency restoration, or shall not exceed ninety days if the defendant is ordered to receive outpatient competency restoration. The court may order any combination of this subsection, not to exceed ninety days. This period must</w:t>
      </w:r>
      <w:r>
        <w:rPr/>
        <w:t xml:space="preserve"> be considered to include only the time the defendant is actually at the facility and shall be in addition to reasonable time for transport to or from the facility</w:t>
      </w:r>
      <w:r>
        <w:t>((</w:t>
      </w:r>
      <w:r>
        <w:rPr>
          <w:strike/>
        </w:rPr>
        <w:t xml:space="preserve">;</w:t>
      </w:r>
    </w:p>
    <w:p>
      <w:pPr>
        <w:spacing w:before="0" w:after="0" w:line="408" w:lineRule="exact"/>
        <w:ind w:left="0" w:right="0" w:firstLine="576"/>
        <w:jc w:val="left"/>
      </w:pPr>
      <w:r>
        <w:rPr>
          <w:strike/>
        </w:rPr>
        <w:t xml:space="preserve">(iii) May alternatively order that the defendant be placed on conditional release for up to ninety days for mental health treatment and restoration of competency; or</w:t>
      </w:r>
    </w:p>
    <w:p>
      <w:pPr>
        <w:spacing w:before="0" w:after="0" w:line="408" w:lineRule="exact"/>
        <w:ind w:left="0" w:right="0" w:firstLine="576"/>
        <w:jc w:val="left"/>
      </w:pPr>
      <w:r>
        <w:rPr>
          <w:strike/>
        </w:rPr>
        <w:t xml:space="preserve">(iv) May order any combination of this subsection</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the court has determined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w:t>
      </w:r>
      <w:r>
        <w:t>((</w:t>
      </w:r>
      <w:r>
        <w:rPr>
          <w:strike/>
        </w:rPr>
        <w:t xml:space="preserve">(c)</w:t>
      </w:r>
      <w:r>
        <w:t>))</w:t>
      </w:r>
      <w:r>
        <w:rPr/>
        <w:t xml:space="preserve"> </w:t>
      </w:r>
      <w:r>
        <w:rPr>
          <w:u w:val="single"/>
        </w:rPr>
        <w:t xml:space="preserve">(d)</w:t>
      </w:r>
      <w:r>
        <w:rPr/>
        <w:t xml:space="preserve"> of this subsection.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(i)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 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crisis responder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3549f5ac0b4821" /></Relationships>
</file>