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14C4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97814">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9781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97814">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97814">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97814">
            <w:t>248</w:t>
          </w:r>
        </w:sdtContent>
      </w:sdt>
    </w:p>
    <w:p w:rsidR="00DF5D0E" w:rsidP="00B73E0A" w:rsidRDefault="00AA1230">
      <w:pPr>
        <w:pStyle w:val="OfferedBy"/>
        <w:spacing w:after="120"/>
      </w:pPr>
      <w:r>
        <w:tab/>
      </w:r>
      <w:r>
        <w:tab/>
      </w:r>
      <w:r>
        <w:tab/>
      </w:r>
    </w:p>
    <w:p w:rsidR="00DF5D0E" w:rsidRDefault="00B14C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97814">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97814">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662</w:t>
          </w:r>
        </w:sdtContent>
      </w:sdt>
    </w:p>
    <w:p w:rsidR="00DF5D0E" w:rsidP="00605C39" w:rsidRDefault="00B14C4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97814">
            <w:rPr>
              <w:sz w:val="22"/>
            </w:rPr>
            <w:t xml:space="preserve">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97814">
          <w:pPr>
            <w:spacing w:after="400" w:line="408" w:lineRule="exact"/>
            <w:jc w:val="right"/>
            <w:rPr>
              <w:b/>
              <w:bCs/>
            </w:rPr>
          </w:pPr>
          <w:r>
            <w:rPr>
              <w:b/>
              <w:bCs/>
            </w:rPr>
            <w:t xml:space="preserve">NOT CONSIDERED 12/23/2019</w:t>
          </w:r>
        </w:p>
      </w:sdtContent>
    </w:sdt>
    <w:p w:rsidR="00525E97" w:rsidP="00525E97" w:rsidRDefault="00DE256E">
      <w:pPr>
        <w:pStyle w:val="Page"/>
      </w:pPr>
      <w:bookmarkStart w:name="StartOfAmendmentBody" w:id="1"/>
      <w:bookmarkEnd w:id="1"/>
      <w:permStart w:edGrp="everyone" w:id="2082292930"/>
      <w:r>
        <w:tab/>
      </w:r>
      <w:r w:rsidR="00525E97">
        <w:t>On page 3, on line 14 of the striking amendment, after "analysis" strike "required under section 5 of this act" and insert "defined under (1) of this subsection"</w:t>
      </w:r>
    </w:p>
    <w:p w:rsidRPr="00525E97" w:rsidR="00525E97" w:rsidP="00525E97" w:rsidRDefault="00525E97">
      <w:pPr>
        <w:pStyle w:val="RCWSLText"/>
      </w:pPr>
    </w:p>
    <w:p w:rsidR="00525E97" w:rsidP="00525E97" w:rsidRDefault="00525E97">
      <w:pPr>
        <w:pStyle w:val="Page"/>
      </w:pPr>
      <w:r>
        <w:tab/>
        <w:t>On page 3, beginning on line 33 of the striking amendment, strike all of section 3</w:t>
      </w:r>
    </w:p>
    <w:p w:rsidR="00525E97" w:rsidP="00525E97" w:rsidRDefault="00525E97">
      <w:pPr>
        <w:pStyle w:val="RCWSLText"/>
      </w:pPr>
    </w:p>
    <w:p w:rsidRPr="005D34C7" w:rsidR="00525E97" w:rsidP="00525E97" w:rsidRDefault="00525E97">
      <w:pPr>
        <w:pStyle w:val="RCWSLText"/>
      </w:pPr>
      <w:r>
        <w:tab/>
        <w:t>Renumber the remaining sections consecutively and correct any internal references accordingly.</w:t>
      </w:r>
    </w:p>
    <w:p w:rsidR="00525E97" w:rsidP="00525E97" w:rsidRDefault="00525E97">
      <w:pPr>
        <w:pStyle w:val="Page"/>
      </w:pPr>
    </w:p>
    <w:p w:rsidR="00525E97" w:rsidP="00525E97" w:rsidRDefault="00525E97">
      <w:pPr>
        <w:pStyle w:val="Page"/>
      </w:pPr>
      <w:r>
        <w:tab/>
        <w:t>On page 5, beginning on line 11 of the striking amendment, after "agencies" strike all material through "guidelines" on line 12</w:t>
      </w:r>
    </w:p>
    <w:p w:rsidRPr="003031B0" w:rsidR="00525E97" w:rsidP="00525E97" w:rsidRDefault="00525E97">
      <w:pPr>
        <w:pStyle w:val="RCWSLText"/>
      </w:pPr>
    </w:p>
    <w:p w:rsidR="00525E97" w:rsidP="00525E97" w:rsidRDefault="00525E97">
      <w:pPr>
        <w:pStyle w:val="Page"/>
      </w:pPr>
      <w:r>
        <w:tab/>
        <w:t>On page 7, beginning on line 24 of the striking amendment, after "(11)" strike all material through "43.01.036" on line 34 and insert "Within one hundred and eighty days of the task force issuing its final report, the state agencies must submit a report, in compliance with RCW 43.01.036, to the entire legislature that includes feedback relating to the task force's findings included in the final report"</w:t>
      </w:r>
    </w:p>
    <w:p w:rsidR="00525E97" w:rsidP="00525E97" w:rsidRDefault="00525E97">
      <w:pPr>
        <w:pStyle w:val="RCWSLText"/>
      </w:pPr>
    </w:p>
    <w:p w:rsidR="00525E97" w:rsidP="00525E97" w:rsidRDefault="00525E97">
      <w:pPr>
        <w:pStyle w:val="RCWSLText"/>
      </w:pPr>
      <w:r>
        <w:tab/>
        <w:t>On page 7, beginning on line 38 of the striking amendment, strike all of section 5</w:t>
      </w:r>
    </w:p>
    <w:p w:rsidR="00525E97" w:rsidP="00525E97" w:rsidRDefault="00525E97">
      <w:pPr>
        <w:pStyle w:val="RCWSLText"/>
      </w:pPr>
    </w:p>
    <w:p w:rsidRPr="00197814" w:rsidR="00DF5D0E" w:rsidP="00525E97" w:rsidRDefault="00525E97">
      <w:pPr>
        <w:pStyle w:val="Page"/>
      </w:pPr>
      <w:r>
        <w:tab/>
        <w:t>Renumber the remaining sections consecutively and correct any internal references accordingly.</w:t>
      </w:r>
    </w:p>
    <w:permEnd w:id="2082292930"/>
    <w:p w:rsidR="00ED2EEB" w:rsidP="0019781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065766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97814" w:rsidRDefault="00D659AC">
                <w:pPr>
                  <w:pStyle w:val="Effect"/>
                  <w:suppressLineNumbers/>
                  <w:shd w:val="clear" w:color="auto" w:fill="auto"/>
                  <w:ind w:left="0" w:firstLine="0"/>
                </w:pPr>
              </w:p>
            </w:tc>
            <w:tc>
              <w:tcPr>
                <w:tcW w:w="9874" w:type="dxa"/>
                <w:shd w:val="clear" w:color="auto" w:fill="FFFFFF" w:themeFill="background1"/>
              </w:tcPr>
              <w:p w:rsidR="00525E97" w:rsidP="00525E9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25E97">
                  <w:t>Removes the requirement that state agencies represented on the task force use all practicable means and measures to promote environmental justice and fair treatment.</w:t>
                </w:r>
              </w:p>
              <w:p w:rsidR="00525E97" w:rsidP="00525E97" w:rsidRDefault="00525E97">
                <w:pPr>
                  <w:pStyle w:val="Effect"/>
                  <w:suppressLineNumbers/>
                  <w:shd w:val="clear" w:color="auto" w:fill="auto"/>
                  <w:ind w:left="0" w:firstLine="0"/>
                </w:pPr>
                <w:r>
                  <w:lastRenderedPageBreak/>
                  <w:t xml:space="preserve">   Removes the requirement that the state agencies notify the governor's interagency council on health disparities upon adoption of rules, policies, or guidelines related to the cumulative impact analysis.</w:t>
                </w:r>
              </w:p>
              <w:p w:rsidR="00525E97" w:rsidP="00525E97" w:rsidRDefault="00525E97">
                <w:pPr>
                  <w:pStyle w:val="Effect"/>
                  <w:suppressLineNumbers/>
                  <w:shd w:val="clear" w:color="auto" w:fill="auto"/>
                  <w:ind w:left="0" w:firstLine="0"/>
                </w:pPr>
                <w:r>
                  <w:t xml:space="preserve">     Removes the requirement that state agencies submit a report one year after the adoption of rules, policies, or guidelines, and two years thereafter, regarding progress made towards reducing disproportionate environmental burdens and attaining environmental health targets, and instead requires state agencies to submit a report, within 180 days of the task force issuing the final report, to the entire Legislature that includes feedback relating to the task force's findings in the final report.</w:t>
                </w:r>
              </w:p>
              <w:p w:rsidR="00525E97" w:rsidP="00525E97" w:rsidRDefault="00525E97">
                <w:pPr>
                  <w:pStyle w:val="Effect"/>
                  <w:suppressLineNumbers/>
                  <w:shd w:val="clear" w:color="auto" w:fill="auto"/>
                  <w:ind w:left="0" w:firstLine="0"/>
                </w:pPr>
                <w:r>
                  <w:t xml:space="preserve">     Removes the requirement that state agencies represented on the task force adopt the use of the cumulative impact analysis, and removes language that state agencies may issue policies or guidelines, or adopt rules to identify highly impacted communities, establish measurable goals for reducing environmental health disparities, and prioritize highly impacted communities in agency decision-making.</w:t>
                </w:r>
              </w:p>
              <w:p w:rsidRPr="0096303F" w:rsidR="001C1B27" w:rsidP="00525E97" w:rsidRDefault="00525E97">
                <w:pPr>
                  <w:pStyle w:val="Effect"/>
                  <w:suppressLineNumbers/>
                  <w:shd w:val="clear" w:color="auto" w:fill="auto"/>
                  <w:ind w:left="0" w:firstLine="0"/>
                </w:pPr>
                <w:r>
                  <w:t xml:space="preserve">     Removes the requirement that the Department of Health initiate a process to develop model policies for the purpose of providing uniform rules, policies, or guidelines to state agencies implementing the task force guidance relating to the cumulative impact analysis.</w:t>
                </w:r>
              </w:p>
              <w:p w:rsidRPr="007D1589" w:rsidR="001B4E53" w:rsidP="00197814" w:rsidRDefault="001B4E53">
                <w:pPr>
                  <w:pStyle w:val="ListBullet"/>
                  <w:numPr>
                    <w:ilvl w:val="0"/>
                    <w:numId w:val="0"/>
                  </w:numPr>
                  <w:suppressLineNumbers/>
                </w:pPr>
              </w:p>
            </w:tc>
          </w:tr>
        </w:sdtContent>
      </w:sdt>
      <w:permEnd w:id="1806576671"/>
    </w:tbl>
    <w:p w:rsidR="00DF5D0E" w:rsidP="00197814" w:rsidRDefault="00DF5D0E">
      <w:pPr>
        <w:pStyle w:val="BillEnd"/>
        <w:suppressLineNumbers/>
      </w:pPr>
    </w:p>
    <w:p w:rsidR="00DF5D0E" w:rsidP="00197814" w:rsidRDefault="00DE256E">
      <w:pPr>
        <w:pStyle w:val="BillEnd"/>
        <w:suppressLineNumbers/>
      </w:pPr>
      <w:r>
        <w:rPr>
          <w:b/>
        </w:rPr>
        <w:t>--- END ---</w:t>
      </w:r>
    </w:p>
    <w:p w:rsidR="00DF5D0E" w:rsidP="0019781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14" w:rsidRDefault="00197814" w:rsidP="00DF5D0E">
      <w:r>
        <w:separator/>
      </w:r>
    </w:p>
  </w:endnote>
  <w:endnote w:type="continuationSeparator" w:id="0">
    <w:p w:rsidR="00197814" w:rsidRDefault="001978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86" w:rsidRDefault="0058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E2D7A">
    <w:pPr>
      <w:pStyle w:val="AmendDraftFooter"/>
    </w:pPr>
    <w:fldSimple w:instr=" TITLE   \* MERGEFORMAT ">
      <w:r>
        <w:t>5489-S2 AMH .... OMLI 248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E2D7A">
    <w:pPr>
      <w:pStyle w:val="AmendDraftFooter"/>
    </w:pPr>
    <w:fldSimple w:instr=" TITLE   \* MERGEFORMAT ">
      <w:r>
        <w:t>5489-S2 AMH .... OMLI 248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14" w:rsidRDefault="00197814" w:rsidP="00DF5D0E">
      <w:r>
        <w:separator/>
      </w:r>
    </w:p>
  </w:footnote>
  <w:footnote w:type="continuationSeparator" w:id="0">
    <w:p w:rsidR="00197814" w:rsidRDefault="0019781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986" w:rsidRDefault="0058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471CC"/>
    <w:rsid w:val="00197814"/>
    <w:rsid w:val="001A775A"/>
    <w:rsid w:val="001B4E53"/>
    <w:rsid w:val="001C1B27"/>
    <w:rsid w:val="001C7F91"/>
    <w:rsid w:val="001E6675"/>
    <w:rsid w:val="00217E8A"/>
    <w:rsid w:val="00265296"/>
    <w:rsid w:val="00281CBD"/>
    <w:rsid w:val="00316CD9"/>
    <w:rsid w:val="003E2FC6"/>
    <w:rsid w:val="00492DDC"/>
    <w:rsid w:val="004C6615"/>
    <w:rsid w:val="004E2D7A"/>
    <w:rsid w:val="00523C5A"/>
    <w:rsid w:val="00525E97"/>
    <w:rsid w:val="00580986"/>
    <w:rsid w:val="005E69C3"/>
    <w:rsid w:val="00605C39"/>
    <w:rsid w:val="006663F6"/>
    <w:rsid w:val="006841E6"/>
    <w:rsid w:val="006D183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14C4B"/>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041"/>
    <w:rsid w:val="00E831A5"/>
    <w:rsid w:val="00E850E7"/>
    <w:rsid w:val="00EB6293"/>
    <w:rsid w:val="00EC4C96"/>
    <w:rsid w:val="00ED2EEB"/>
    <w:rsid w:val="00F229DE"/>
    <w:rsid w:val="00F304D3"/>
    <w:rsid w:val="00F4663F"/>
    <w:rsid w:val="00FF414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66C2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GOEH</SponsorAcronym>
  <DrafterAcronym>OMLI</DrafterAcronym>
  <DraftNumber>248</DraftNumber>
  <ReferenceNumber>2SSB 5489</ReferenceNumber>
  <Floor>H AMD TO APP COMM AMD (H-2877.1/19)</Floor>
  <AmendmentNumber> 662</AmendmentNumber>
  <Sponsors>By Representative Goehner</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423</Words>
  <Characters>2361</Characters>
  <Application>Microsoft Office Word</Application>
  <DocSecurity>8</DocSecurity>
  <Lines>65</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GOEH OMLI 248</dc:title>
  <dc:creator>Desiree Omli</dc:creator>
  <cp:lastModifiedBy>Omli, Desiree</cp:lastModifiedBy>
  <cp:revision>12</cp:revision>
  <dcterms:created xsi:type="dcterms:W3CDTF">2019-04-11T22:46:00Z</dcterms:created>
  <dcterms:modified xsi:type="dcterms:W3CDTF">2019-04-11T22:59:00Z</dcterms:modified>
</cp:coreProperties>
</file>