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4c46406124467f" /></Relationships>
</file>

<file path=word/document.xml><?xml version="1.0" encoding="utf-8"?>
<w:document xmlns:w="http://schemas.openxmlformats.org/wordprocessingml/2006/main">
  <w:body>
    <w:p>
      <w:r>
        <w:rPr>
          <w:b/>
        </w:rPr>
        <w:r>
          <w:rPr/>
          <w:t xml:space="preserve">5489-S2</w:t>
        </w:r>
      </w:r>
      <w:r>
        <w:rPr>
          <w:b/>
        </w:rPr>
        <w:t xml:space="preserve"> </w:t>
        <w:t xml:space="preserve">AMH</w:t>
      </w:r>
      <w:r>
        <w:rPr>
          <w:b/>
        </w:rPr>
        <w:t xml:space="preserve"> </w:t>
        <w:r>
          <w:rPr/>
          <w:t xml:space="preserve">SMIN</w:t>
        </w:r>
      </w:r>
      <w:r>
        <w:rPr>
          <w:b/>
        </w:rPr>
        <w:t xml:space="preserve"> </w:t>
        <w:r>
          <w:rPr/>
          <w:t xml:space="preserve">H2933.1</w:t>
        </w:r>
      </w:r>
      <w:r>
        <w:rPr>
          <w:b/>
        </w:rPr>
        <w:t xml:space="preserve"> - NOT FOR FLOOR USE</w:t>
      </w:r>
    </w:p>
    <w:p>
      <w:pPr>
        <w:ind w:left="0" w:right="0" w:firstLine="576"/>
      </w:pPr>
    </w:p>
    <w:p>
      <w:pPr>
        <w:spacing w:before="480" w:after="0" w:line="408" w:lineRule="exact"/>
      </w:pPr>
      <w:r>
        <w:rPr>
          <w:b/>
          <w:u w:val="single"/>
        </w:rPr>
        <w:t xml:space="preserve">2SSB 5489</w:t>
      </w:r>
      <w:r>
        <w:t xml:space="preserve"> -</w:t>
      </w:r>
      <w:r>
        <w:t xml:space="preserve"> </w:t>
        <w:t xml:space="preserve">H AMD TO APP COMM AMD (H-2877.1/19)</w:t>
      </w:r>
      <w:r>
        <w:t xml:space="preserve"> </w:t>
      </w:r>
      <w:r>
        <w:rPr>
          <w:b/>
        </w:rPr>
        <w:t xml:space="preserve">678</w:t>
      </w:r>
    </w:p>
    <w:p>
      <w:pPr>
        <w:spacing w:before="0" w:after="0" w:line="408" w:lineRule="exact"/>
        <w:ind w:left="0" w:right="0" w:firstLine="576"/>
        <w:jc w:val="left"/>
      </w:pPr>
      <w:r>
        <w:rPr/>
        <w:t xml:space="preserve">By Representative Smith</w:t>
      </w:r>
    </w:p>
    <w:p>
      <w:pPr>
        <w:jc w:val="right"/>
      </w:pPr>
      <w:r>
        <w:rPr>
          <w:b/>
        </w:rPr>
        <w:t xml:space="preserve">NOT CONSIDERED 12/23/2019</w:t>
      </w:r>
    </w:p>
    <w:p>
      <w:pPr>
        <w:spacing w:before="0" w:after="0" w:line="408" w:lineRule="exact"/>
        <w:ind w:left="0" w:right="0" w:firstLine="576"/>
        <w:jc w:val="left"/>
      </w:pPr>
      <w:r>
        <w:rPr/>
        <w:t xml:space="preserve">On page 8, line 14, after "(3)" insert "When developing, adopting, and implementing agency proposals or programs that have the purpose of reducing environmental impacts in Washington, state agencies must consider global impacts, environmental trade-offs, and unintended consequences on jurisdictions outside of Washington associated with the agency proposals or programs, including incentive programs. The impacts, trade-offs, and consequences that the agencies must consider include, but are not limited to:</w:t>
      </w:r>
    </w:p>
    <w:p>
      <w:pPr>
        <w:spacing w:before="0" w:after="0" w:line="408" w:lineRule="exact"/>
        <w:ind w:left="0" w:right="0" w:firstLine="576"/>
        <w:jc w:val="left"/>
      </w:pPr>
      <w:r>
        <w:rPr/>
        <w:t xml:space="preserve">(a) Environmental and social impacts to jurisdictions that produce rare earth elements, alternative fuel vehicle components, and other materials for consumption or use in Washington that are encouraged, required, or incentivized by the proposal or program; and</w:t>
      </w:r>
    </w:p>
    <w:p>
      <w:pPr>
        <w:spacing w:before="0" w:after="0" w:line="408" w:lineRule="exact"/>
        <w:ind w:left="0" w:right="0" w:firstLine="576"/>
        <w:jc w:val="left"/>
      </w:pPr>
      <w:r>
        <w:rPr/>
        <w:t xml:space="preserve">(b) Impacts to jurisdictions involved in end-of-life management activities associated with products used or consumed in Washington.</w:t>
      </w:r>
    </w:p>
    <w:p>
      <w:pPr>
        <w:spacing w:before="0" w:after="0" w:line="408" w:lineRule="exact"/>
        <w:ind w:left="0" w:right="0" w:firstLine="576"/>
        <w:jc w:val="left"/>
      </w:pPr>
      <w:r>
        <w:rPr/>
        <w:t xml:space="preserve">(4)"</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Requires state agencies with representation on the task force to consider global impacts, environmental trade-offs, and unintended consequences on jurisdictions outside of Washington associated with agency proposals or programs that have the purpose of reducing the environmental impact on the state, including but not limited to the following impacts, trade-offs, or unintended consequences: (1) Environmental and social impacts to jurisdictions that produce rare earth elements, alternative fuel vehicle components, and other materials for consumption or use in Washington that are encouraged, required, or incentivized by the proposal or program; and (2) impacts to jurisdictions involved in end-of-life management activities associated with products used or consumed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a637980da4431f" /></Relationships>
</file>