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314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7F7E">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7F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7F7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7F7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7F7E">
            <w:t>232</w:t>
          </w:r>
        </w:sdtContent>
      </w:sdt>
    </w:p>
    <w:p w:rsidR="00DF5D0E" w:rsidP="00B73E0A" w:rsidRDefault="00AA1230">
      <w:pPr>
        <w:pStyle w:val="OfferedBy"/>
        <w:spacing w:after="120"/>
      </w:pPr>
      <w:r>
        <w:tab/>
      </w:r>
      <w:r>
        <w:tab/>
      </w:r>
      <w:r>
        <w:tab/>
      </w:r>
    </w:p>
    <w:p w:rsidR="00DF5D0E" w:rsidRDefault="008314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7F7E">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17F7E">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668</w:t>
          </w:r>
        </w:sdtContent>
      </w:sdt>
    </w:p>
    <w:p w:rsidR="00DF5D0E" w:rsidP="00605C39" w:rsidRDefault="008314B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7F7E">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17F7E">
          <w:pPr>
            <w:spacing w:after="400" w:line="408" w:lineRule="exact"/>
            <w:jc w:val="right"/>
            <w:rPr>
              <w:b/>
              <w:bCs/>
            </w:rPr>
          </w:pPr>
          <w:r>
            <w:rPr>
              <w:b/>
              <w:bCs/>
            </w:rPr>
            <w:t xml:space="preserve">NOT CONSIDERED 12/23/2019</w:t>
          </w:r>
        </w:p>
      </w:sdtContent>
    </w:sdt>
    <w:p w:rsidR="00944EEB" w:rsidP="00C8108C" w:rsidRDefault="00DE256E">
      <w:pPr>
        <w:pStyle w:val="Page"/>
      </w:pPr>
      <w:bookmarkStart w:name="StartOfAmendmentBody" w:id="1"/>
      <w:bookmarkEnd w:id="1"/>
      <w:permStart w:edGrp="everyone" w:id="2048942469"/>
      <w:r>
        <w:tab/>
      </w:r>
      <w:r w:rsidR="00944EEB">
        <w:t>On page 4, beginning on line 3</w:t>
      </w:r>
      <w:r w:rsidR="00BC4BC5">
        <w:t xml:space="preserve"> of the striking amendment</w:t>
      </w:r>
      <w:r w:rsidR="00944EEB">
        <w:t>, after "to" strike all material through "responsibilities" on line 4 and insert "study the societal impact of environmental hazards on urban and rural areas of the state</w:t>
      </w:r>
      <w:r w:rsidR="00F7274E">
        <w:t>,</w:t>
      </w:r>
      <w:r w:rsidR="00944EEB">
        <w:t xml:space="preserve"> and </w:t>
      </w:r>
      <w:r w:rsidR="00880EB3">
        <w:t>make</w:t>
      </w:r>
      <w:r w:rsidR="00F7274E">
        <w:t xml:space="preserve"> an inventory of </w:t>
      </w:r>
      <w:r w:rsidR="00944EEB">
        <w:t>changes that state agencies have</w:t>
      </w:r>
      <w:r w:rsidR="00F7274E">
        <w:t xml:space="preserve"> already</w:t>
      </w:r>
      <w:r w:rsidR="00944EEB">
        <w:t xml:space="preserve"> made to mitigate that impact"</w:t>
      </w:r>
    </w:p>
    <w:p w:rsidRPr="00944EEB" w:rsidR="00944EEB" w:rsidP="00944EEB" w:rsidRDefault="00944EEB">
      <w:pPr>
        <w:pStyle w:val="RCWSLText"/>
      </w:pPr>
    </w:p>
    <w:p w:rsidR="00B17F7E" w:rsidP="00C8108C" w:rsidRDefault="00944EEB">
      <w:pPr>
        <w:pStyle w:val="Page"/>
      </w:pPr>
      <w:r>
        <w:tab/>
      </w:r>
      <w:r w:rsidR="00B17F7E">
        <w:t xml:space="preserve">On page </w:t>
      </w:r>
      <w:r w:rsidR="008215C1">
        <w:t>4, beginning on line 26 of the striking amendment, strike all of subsection (j)</w:t>
      </w:r>
    </w:p>
    <w:p w:rsidR="008215C1" w:rsidP="008215C1" w:rsidRDefault="008215C1">
      <w:pPr>
        <w:pStyle w:val="RCWSLText"/>
      </w:pPr>
    </w:p>
    <w:p w:rsidR="008215C1" w:rsidP="008215C1" w:rsidRDefault="008215C1">
      <w:pPr>
        <w:pStyle w:val="RCWSLText"/>
      </w:pPr>
      <w:r>
        <w:tab/>
        <w:t>Renumber the remaining subsections consecutively and correct any internal references accordingly.</w:t>
      </w:r>
    </w:p>
    <w:p w:rsidR="008215C1" w:rsidP="008215C1" w:rsidRDefault="008215C1">
      <w:pPr>
        <w:pStyle w:val="RCWSLText"/>
      </w:pPr>
    </w:p>
    <w:p w:rsidR="00866EC1" w:rsidP="008215C1" w:rsidRDefault="008215C1">
      <w:pPr>
        <w:pStyle w:val="RCWSLText"/>
      </w:pPr>
      <w:r>
        <w:tab/>
      </w:r>
      <w:r w:rsidR="00866EC1">
        <w:t>On page 4, line 32 of the striking amendment, after "leader," strike "appointed" and insert "invited"</w:t>
      </w:r>
    </w:p>
    <w:p w:rsidR="00866EC1" w:rsidP="008215C1" w:rsidRDefault="00866EC1">
      <w:pPr>
        <w:pStyle w:val="RCWSLText"/>
      </w:pPr>
    </w:p>
    <w:p w:rsidR="005B64C0" w:rsidP="008215C1" w:rsidRDefault="00866EC1">
      <w:pPr>
        <w:pStyle w:val="RCWSLText"/>
      </w:pPr>
      <w:r>
        <w:tab/>
      </w:r>
      <w:r w:rsidR="004D3D1B">
        <w:t>On page 4, line 34 of the striking amendment, after "governor;" strike "and"</w:t>
      </w:r>
    </w:p>
    <w:p w:rsidR="005B64C0" w:rsidP="008215C1" w:rsidRDefault="005B64C0">
      <w:pPr>
        <w:pStyle w:val="RCWSLText"/>
      </w:pPr>
    </w:p>
    <w:p w:rsidR="004D3D1B" w:rsidP="008215C1" w:rsidRDefault="005B64C0">
      <w:pPr>
        <w:pStyle w:val="RCWSLText"/>
      </w:pPr>
      <w:r>
        <w:tab/>
      </w:r>
      <w:r w:rsidR="004D3D1B">
        <w:t>On page 4, line 36 of the striking amendment, after "</w:t>
      </w:r>
      <w:r w:rsidR="007B5F00">
        <w:t>interests</w:t>
      </w:r>
      <w:r w:rsidR="004D3D1B">
        <w:t xml:space="preserve">" </w:t>
      </w:r>
      <w:r w:rsidR="007B5F00">
        <w:t xml:space="preserve">strike ", appointed by the governor" and </w:t>
      </w:r>
      <w:r w:rsidR="004D3D1B">
        <w:t>insert "</w:t>
      </w:r>
      <w:r w:rsidR="007B5F00">
        <w:t>in the construction trade, appointed by the governor</w:t>
      </w:r>
      <w:r w:rsidR="004D3D1B">
        <w:t>;</w:t>
      </w:r>
    </w:p>
    <w:p w:rsidR="004D3D1B" w:rsidP="004D3D1B" w:rsidRDefault="004D3D1B">
      <w:pPr>
        <w:pStyle w:val="RCWSLText"/>
      </w:pPr>
      <w:r>
        <w:tab/>
        <w:t>(n) Two members of the senate, one from each major caucus, appointed by the president of the senate, and two members of the house of representatives, one from each major caucus, appointed by the speaker of the house of representatives</w:t>
      </w:r>
      <w:r w:rsidR="00A750C4">
        <w:t>;</w:t>
      </w:r>
    </w:p>
    <w:p w:rsidR="00A750C4" w:rsidP="004D3D1B" w:rsidRDefault="00A750C4">
      <w:pPr>
        <w:pStyle w:val="RCWSLText"/>
      </w:pPr>
      <w:r>
        <w:tab/>
        <w:t xml:space="preserve">(o) One member from an association or organization representing the interests of builders, appointed by </w:t>
      </w:r>
      <w:r w:rsidR="00007EC3">
        <w:t>the governor;</w:t>
      </w:r>
    </w:p>
    <w:p w:rsidR="00A750C4" w:rsidP="004D3D1B" w:rsidRDefault="00A750C4">
      <w:pPr>
        <w:pStyle w:val="RCWSLText"/>
      </w:pPr>
      <w:r>
        <w:lastRenderedPageBreak/>
        <w:tab/>
        <w:t xml:space="preserve">(p) One member from an association or organization representing the interests of contractors, appointed by </w:t>
      </w:r>
      <w:r w:rsidR="00007EC3">
        <w:t>the governor;</w:t>
      </w:r>
    </w:p>
    <w:p w:rsidR="00A750C4" w:rsidP="004D3D1B" w:rsidRDefault="00A750C4">
      <w:pPr>
        <w:pStyle w:val="RCWSLText"/>
      </w:pPr>
      <w:r>
        <w:tab/>
        <w:t>(q) One member from an association or organization representing the interest</w:t>
      </w:r>
      <w:r w:rsidR="00F37492">
        <w:t>s</w:t>
      </w:r>
      <w:r>
        <w:t xml:space="preserve"> of retail businesses, appointed by </w:t>
      </w:r>
      <w:r w:rsidR="00007EC3">
        <w:t>the governor;</w:t>
      </w:r>
    </w:p>
    <w:p w:rsidR="00A750C4" w:rsidP="004D3D1B" w:rsidRDefault="00A750C4">
      <w:pPr>
        <w:pStyle w:val="RCWSLText"/>
      </w:pPr>
      <w:r>
        <w:tab/>
        <w:t>(r) One member from an association or organization representing the interest</w:t>
      </w:r>
      <w:r w:rsidR="00F37492">
        <w:t>s</w:t>
      </w:r>
      <w:r>
        <w:t xml:space="preserve"> of real estate agents</w:t>
      </w:r>
      <w:r w:rsidR="00A06FBE">
        <w:t>,</w:t>
      </w:r>
      <w:r w:rsidRPr="00A06FBE" w:rsidR="00A06FBE">
        <w:t xml:space="preserve"> </w:t>
      </w:r>
      <w:r w:rsidR="00A06FBE">
        <w:t xml:space="preserve">appointed by </w:t>
      </w:r>
      <w:r w:rsidR="00007EC3">
        <w:t>the governor;</w:t>
      </w:r>
    </w:p>
    <w:p w:rsidR="00A750C4" w:rsidP="004D3D1B" w:rsidRDefault="00A750C4">
      <w:pPr>
        <w:pStyle w:val="RCWSLText"/>
      </w:pPr>
      <w:r>
        <w:tab/>
        <w:t>(s) One member from an association or organization representing the interest</w:t>
      </w:r>
      <w:r w:rsidR="00F37492">
        <w:t>s</w:t>
      </w:r>
      <w:r>
        <w:t xml:space="preserve"> of the timber industry</w:t>
      </w:r>
      <w:r w:rsidR="00A06FBE">
        <w:t>,</w:t>
      </w:r>
      <w:r w:rsidRPr="00A06FBE" w:rsidR="00A06FBE">
        <w:t xml:space="preserve"> </w:t>
      </w:r>
      <w:r w:rsidR="00A06FBE">
        <w:t xml:space="preserve">appointed by </w:t>
      </w:r>
      <w:r w:rsidR="00007EC3">
        <w:t>the governor;</w:t>
      </w:r>
    </w:p>
    <w:p w:rsidR="00A750C4" w:rsidP="004D3D1B" w:rsidRDefault="00A750C4">
      <w:pPr>
        <w:pStyle w:val="RCWSLText"/>
      </w:pPr>
      <w:r>
        <w:tab/>
        <w:t>(t) One member from an association or organization representing the interest</w:t>
      </w:r>
      <w:r w:rsidR="00F37492">
        <w:t>s</w:t>
      </w:r>
      <w:r>
        <w:t xml:space="preserve"> of the agricultural industry</w:t>
      </w:r>
      <w:r w:rsidR="00A06FBE">
        <w:t>,</w:t>
      </w:r>
      <w:r w:rsidRPr="00A06FBE" w:rsidR="00A06FBE">
        <w:t xml:space="preserve"> </w:t>
      </w:r>
      <w:r w:rsidR="00A06FBE">
        <w:t xml:space="preserve">appointed by </w:t>
      </w:r>
      <w:r w:rsidR="00007EC3">
        <w:t>the governor;</w:t>
      </w:r>
    </w:p>
    <w:p w:rsidR="00A750C4" w:rsidP="004D3D1B" w:rsidRDefault="00A750C4">
      <w:pPr>
        <w:pStyle w:val="RCWSLText"/>
      </w:pPr>
      <w:r>
        <w:tab/>
        <w:t>(u) One member from an association or organization representing the interest</w:t>
      </w:r>
      <w:r w:rsidR="00F37492">
        <w:t>s</w:t>
      </w:r>
      <w:r>
        <w:t xml:space="preserve"> of cattle ranchers</w:t>
      </w:r>
      <w:r w:rsidR="00A06FBE">
        <w:t>,</w:t>
      </w:r>
      <w:r w:rsidRPr="00A06FBE" w:rsidR="00A06FBE">
        <w:t xml:space="preserve"> </w:t>
      </w:r>
      <w:r w:rsidR="00A06FBE">
        <w:t xml:space="preserve">appointed by </w:t>
      </w:r>
      <w:r w:rsidR="00007EC3">
        <w:t>the governor;</w:t>
      </w:r>
    </w:p>
    <w:p w:rsidR="00747F91" w:rsidP="004D3D1B" w:rsidRDefault="00A750C4">
      <w:pPr>
        <w:pStyle w:val="RCWSLText"/>
      </w:pPr>
      <w:r>
        <w:tab/>
        <w:t xml:space="preserve">(v) One member from a free-market think tank </w:t>
      </w:r>
      <w:r w:rsidR="00EB7B53">
        <w:t>engaged in public policy assessments in Washington</w:t>
      </w:r>
      <w:r w:rsidR="00A06FBE">
        <w:t>,</w:t>
      </w:r>
      <w:r w:rsidRPr="00A06FBE" w:rsidR="00A06FBE">
        <w:t xml:space="preserve"> </w:t>
      </w:r>
      <w:r w:rsidR="00A06FBE">
        <w:t xml:space="preserve">appointed by </w:t>
      </w:r>
      <w:r w:rsidR="00007EC3">
        <w:t xml:space="preserve">the governor; </w:t>
      </w:r>
      <w:r w:rsidR="0061270D">
        <w:t>and</w:t>
      </w:r>
    </w:p>
    <w:p w:rsidRPr="0061270D" w:rsidR="005B64C0" w:rsidP="004D3D1B" w:rsidRDefault="00747F91">
      <w:pPr>
        <w:pStyle w:val="RCWSLText"/>
      </w:pPr>
      <w:r>
        <w:tab/>
        <w:t xml:space="preserve">(w) One member from the public, </w:t>
      </w:r>
      <w:r w:rsidR="00F37492">
        <w:t xml:space="preserve">appointed by the governor, </w:t>
      </w:r>
      <w:r w:rsidRPr="00007EC3">
        <w:t>who shall serve as a nonvoting member</w:t>
      </w:r>
      <w:r w:rsidRPr="00D244D9" w:rsidR="0061270D">
        <w:t xml:space="preserve"> </w:t>
      </w:r>
      <w:r w:rsidR="0061270D">
        <w:t xml:space="preserve">and is responsible for reporting to the </w:t>
      </w:r>
      <w:r w:rsidR="00671AA6">
        <w:t xml:space="preserve">entire </w:t>
      </w:r>
      <w:r w:rsidR="0061270D">
        <w:t xml:space="preserve">legislature after each meeting, including reporting </w:t>
      </w:r>
      <w:r w:rsidRPr="00007EC3" w:rsidR="0061270D">
        <w:t xml:space="preserve">on the task force's activities </w:t>
      </w:r>
      <w:r w:rsidR="0061270D">
        <w:t>and information on whether the goals of the task force can be reasonably achieved in the number of meetings</w:t>
      </w:r>
      <w:r w:rsidR="002020EF">
        <w:t xml:space="preserve"> planned and time allotted"</w:t>
      </w:r>
    </w:p>
    <w:p w:rsidR="00A750C4" w:rsidP="004D3D1B" w:rsidRDefault="00A750C4">
      <w:pPr>
        <w:pStyle w:val="RCWSLText"/>
      </w:pPr>
    </w:p>
    <w:p w:rsidR="00A221AE" w:rsidP="004D3D1B" w:rsidRDefault="0071638C">
      <w:pPr>
        <w:pStyle w:val="RCWSLText"/>
      </w:pPr>
      <w:r>
        <w:tab/>
      </w:r>
      <w:r w:rsidR="00A221AE">
        <w:t>On page 4, beginning on line 37 of the striking amendment, after "(3)" strike all material through "force" on line 40 and insert "The members of the task force shall select the co-chairs of the task force"</w:t>
      </w:r>
    </w:p>
    <w:p w:rsidR="00A221AE" w:rsidP="004D3D1B" w:rsidRDefault="00A221AE">
      <w:pPr>
        <w:pStyle w:val="RCWSLText"/>
      </w:pPr>
    </w:p>
    <w:p w:rsidR="0071638C" w:rsidP="004D3D1B" w:rsidRDefault="00A221AE">
      <w:pPr>
        <w:pStyle w:val="RCWSLText"/>
      </w:pPr>
      <w:r>
        <w:tab/>
      </w:r>
      <w:r w:rsidR="0071638C">
        <w:t>On page 5, beginning on line 5 of the striking amendment, after "findings" strike all material through "</w:t>
      </w:r>
      <w:r w:rsidR="00A16862">
        <w:t xml:space="preserve">of </w:t>
      </w:r>
      <w:r w:rsidR="001354FF">
        <w:t>the</w:t>
      </w:r>
      <w:r w:rsidR="0071638C">
        <w:t>" on line 6</w:t>
      </w:r>
      <w:r w:rsidR="003506A3">
        <w:t xml:space="preserve"> and insert "to</w:t>
      </w:r>
      <w:r w:rsidR="001354FF">
        <w:t xml:space="preserve"> the entire</w:t>
      </w:r>
      <w:r w:rsidR="003506A3">
        <w:t>"</w:t>
      </w:r>
    </w:p>
    <w:p w:rsidR="0071638C" w:rsidP="004D3D1B" w:rsidRDefault="0071638C">
      <w:pPr>
        <w:pStyle w:val="RCWSLText"/>
      </w:pPr>
    </w:p>
    <w:p w:rsidR="0071638C" w:rsidP="004D3D1B" w:rsidRDefault="0071638C">
      <w:pPr>
        <w:pStyle w:val="RCWSLText"/>
      </w:pPr>
      <w:r>
        <w:tab/>
        <w:t xml:space="preserve">On page 5, line 8 of the striking amendment, after "43.01.036." insert "The findings of the task force must be adopted by the entirety of the </w:t>
      </w:r>
      <w:r w:rsidR="002C7CC1">
        <w:t xml:space="preserve">task force. If </w:t>
      </w:r>
      <w:r w:rsidR="007B40AF">
        <w:t xml:space="preserve">the task force cannot reach consensus on the </w:t>
      </w:r>
      <w:r w:rsidR="007B40AF">
        <w:lastRenderedPageBreak/>
        <w:t>findings</w:t>
      </w:r>
      <w:r w:rsidR="002C7CC1">
        <w:t xml:space="preserve">, the </w:t>
      </w:r>
      <w:r w:rsidR="003216DA">
        <w:t xml:space="preserve">final </w:t>
      </w:r>
      <w:r w:rsidR="002C7CC1">
        <w:t xml:space="preserve">report must detail the items that </w:t>
      </w:r>
      <w:r w:rsidR="003158F9">
        <w:t>could not</w:t>
      </w:r>
      <w:r w:rsidR="002C7CC1">
        <w:t xml:space="preserve"> be adopted by consensus.</w:t>
      </w:r>
      <w:r w:rsidR="004B1FD2">
        <w:t>"</w:t>
      </w:r>
    </w:p>
    <w:p w:rsidR="00020218" w:rsidP="004D3D1B" w:rsidRDefault="00020218">
      <w:pPr>
        <w:pStyle w:val="RCWSLText"/>
      </w:pPr>
    </w:p>
    <w:p w:rsidRPr="00B17F7E" w:rsidR="00DF5D0E" w:rsidP="00A33B4C" w:rsidRDefault="00BC4BC5">
      <w:pPr>
        <w:pStyle w:val="RCWSLText"/>
      </w:pPr>
      <w:r>
        <w:tab/>
      </w:r>
      <w:r w:rsidRPr="005B4D98" w:rsidR="00A33B4C">
        <w:t>On page 7</w:t>
      </w:r>
      <w:r w:rsidRPr="005B4D98">
        <w:t xml:space="preserve">, line </w:t>
      </w:r>
      <w:r w:rsidRPr="005B4D98" w:rsidR="00A33B4C">
        <w:t>8</w:t>
      </w:r>
      <w:r w:rsidRPr="005B4D98">
        <w:t xml:space="preserve"> of the striking amendment, after "(8)"</w:t>
      </w:r>
      <w:r w:rsidRPr="005B4D98" w:rsidR="00A33B4C">
        <w:t xml:space="preserve"> strike "Members" and</w:t>
      </w:r>
      <w:r w:rsidRPr="005B4D98">
        <w:t xml:space="preserve"> insert "For attendance at meetings of the </w:t>
      </w:r>
      <w:r w:rsidR="0005410D">
        <w:t>task force</w:t>
      </w:r>
      <w:r w:rsidRPr="005B4D98">
        <w:t xml:space="preserve"> or in attending to such other business of the task force as may be authorized, legislative members of the task force shall be reimbursed and receive allowances in accordance with RCW 44.04.120.</w:t>
      </w:r>
      <w:r w:rsidRPr="005B4D98" w:rsidR="00A33B4C">
        <w:t xml:space="preserve"> Non-legislative</w:t>
      </w:r>
      <w:r w:rsidR="00897840">
        <w:t xml:space="preserve"> members</w:t>
      </w:r>
      <w:r w:rsidRPr="005B4D98">
        <w:t>"</w:t>
      </w:r>
    </w:p>
    <w:permEnd w:id="2048942469"/>
    <w:p w:rsidR="00ED2EEB" w:rsidP="00B17F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274294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17F7E" w:rsidRDefault="00D659AC">
                <w:pPr>
                  <w:pStyle w:val="Effect"/>
                  <w:suppressLineNumbers/>
                  <w:shd w:val="clear" w:color="auto" w:fill="auto"/>
                  <w:ind w:left="0" w:firstLine="0"/>
                </w:pPr>
              </w:p>
            </w:tc>
            <w:tc>
              <w:tcPr>
                <w:tcW w:w="9874" w:type="dxa"/>
                <w:shd w:val="clear" w:color="auto" w:fill="FFFFFF" w:themeFill="background1"/>
              </w:tcPr>
              <w:p w:rsidR="00465523" w:rsidP="00B17F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65523">
                  <w:t xml:space="preserve">Modifies the purpose of the task force by removing language that the task force is established to recommend strategies for incorporating environmental justice principles into how state agencies discharge their responsibilities, to instead state that the task force is established to study the societal impact of environmental hazards on urban and rural areas of the state and </w:t>
                </w:r>
                <w:r w:rsidR="00AA549F">
                  <w:t xml:space="preserve">create an inventory of </w:t>
                </w:r>
                <w:r w:rsidR="00465523">
                  <w:t xml:space="preserve">changes that state agencies have </w:t>
                </w:r>
                <w:r w:rsidR="00AA549F">
                  <w:t xml:space="preserve">already </w:t>
                </w:r>
                <w:r w:rsidR="00465523">
                  <w:t>made to mitigate such impact.</w:t>
                </w:r>
              </w:p>
              <w:p w:rsidR="001C1B27" w:rsidP="00B17F7E" w:rsidRDefault="00465523">
                <w:pPr>
                  <w:pStyle w:val="Effect"/>
                  <w:suppressLineNumbers/>
                  <w:shd w:val="clear" w:color="auto" w:fill="auto"/>
                  <w:ind w:left="0" w:firstLine="0"/>
                </w:pPr>
                <w:r>
                  <w:t xml:space="preserve">     </w:t>
                </w:r>
                <w:r w:rsidR="004D3D1B">
                  <w:t>Removes as members on the task force three members from community-based organizations that are nominated based upon maintaining a balanced and diverse distribution of ethnic, geographic, gender, sexual orientation, age, socioeconomic, and occupational representation.</w:t>
                </w:r>
              </w:p>
              <w:p w:rsidR="004D3D1B" w:rsidP="004D3D1B" w:rsidRDefault="004D3D1B">
                <w:pPr>
                  <w:pStyle w:val="Effect"/>
                  <w:suppressLineNumbers/>
                  <w:shd w:val="clear" w:color="auto" w:fill="auto"/>
                  <w:ind w:left="0" w:firstLine="0"/>
                </w:pPr>
                <w:r>
                  <w:t xml:space="preserve">     Adds </w:t>
                </w:r>
                <w:r w:rsidR="00024E92">
                  <w:t xml:space="preserve">thirteen new members to the task force, including </w:t>
                </w:r>
                <w:r>
                  <w:t>two Senators appointed by the President of the Senate, and two members from the House of Representatives appointed by the Speaker of the House of Representatives</w:t>
                </w:r>
                <w:r w:rsidR="007E4098">
                  <w:t>;</w:t>
                </w:r>
                <w:r w:rsidR="00A70F6F">
                  <w:t xml:space="preserve"> one member from the public who is </w:t>
                </w:r>
                <w:r w:rsidR="002020EF">
                  <w:t xml:space="preserve">a nonvoting member and </w:t>
                </w:r>
                <w:r w:rsidR="00A70F6F">
                  <w:t xml:space="preserve">responsible for reporting, among other </w:t>
                </w:r>
                <w:r w:rsidR="004E1EDD">
                  <w:t>information</w:t>
                </w:r>
                <w:r w:rsidR="00A70F6F">
                  <w:t>, task force activities to the</w:t>
                </w:r>
                <w:r w:rsidR="008B49BD">
                  <w:t xml:space="preserve"> entire</w:t>
                </w:r>
                <w:r w:rsidR="00A70F6F">
                  <w:t xml:space="preserve"> Legislature;</w:t>
                </w:r>
                <w:r w:rsidR="007E4098">
                  <w:t xml:space="preserve"> and one member from an association or organization representing each of the following: </w:t>
                </w:r>
                <w:r w:rsidR="00024E92">
                  <w:t>builders, contractors, retail businesses, real estate agents, the timber industry, the agricultural industry, cattle ranchers, and a free-market think tank engaged in public policy assessments in Washington</w:t>
                </w:r>
                <w:r>
                  <w:t>.</w:t>
                </w:r>
              </w:p>
              <w:p w:rsidR="000C000C" w:rsidP="004D3D1B" w:rsidRDefault="00F92E20">
                <w:pPr>
                  <w:pStyle w:val="Effect"/>
                  <w:suppressLineNumbers/>
                  <w:shd w:val="clear" w:color="auto" w:fill="auto"/>
                  <w:ind w:left="0" w:firstLine="0"/>
                </w:pPr>
                <w:r>
                  <w:t xml:space="preserve">     </w:t>
                </w:r>
                <w:r w:rsidR="000C000C">
                  <w:t>Removes the representative of statewide environmental justice interests and the chair of the Governor's Interagency Council on Health Disparities as the co-chairs of the task force, and instead requires the members of the task force to select the co-chairs.</w:t>
                </w:r>
              </w:p>
              <w:p w:rsidR="00F92E20" w:rsidP="004D3D1B" w:rsidRDefault="000C000C">
                <w:pPr>
                  <w:pStyle w:val="Effect"/>
                  <w:suppressLineNumbers/>
                  <w:shd w:val="clear" w:color="auto" w:fill="auto"/>
                  <w:ind w:left="0" w:firstLine="0"/>
                </w:pPr>
                <w:r>
                  <w:t xml:space="preserve">     </w:t>
                </w:r>
                <w:r w:rsidR="00F92E20">
                  <w:t>Removes the requirement that the final report of the task force include recommendations, therefore directing the task force to only report on its findings.</w:t>
                </w:r>
              </w:p>
              <w:p w:rsidR="003506A3" w:rsidP="004D3D1B" w:rsidRDefault="003506A3">
                <w:pPr>
                  <w:pStyle w:val="Effect"/>
                  <w:suppressLineNumbers/>
                  <w:shd w:val="clear" w:color="auto" w:fill="auto"/>
                  <w:ind w:left="0" w:firstLine="0"/>
                </w:pPr>
                <w:r>
                  <w:t xml:space="preserve">     Requires that any findings included in the final report be adopted by the entirety of the task force.</w:t>
                </w:r>
              </w:p>
              <w:p w:rsidR="003B7961" w:rsidP="00643C8E" w:rsidRDefault="003506A3">
                <w:pPr>
                  <w:pStyle w:val="Effect"/>
                  <w:suppressLineNumbers/>
                  <w:shd w:val="clear" w:color="auto" w:fill="auto"/>
                  <w:ind w:left="0" w:firstLine="0"/>
                </w:pPr>
                <w:r>
                  <w:t xml:space="preserve">     Requires that the final report of the task force be submitted to the </w:t>
                </w:r>
                <w:r w:rsidR="00524942">
                  <w:t xml:space="preserve">entire </w:t>
                </w:r>
                <w:r>
                  <w:t xml:space="preserve">Legislature, rather than </w:t>
                </w:r>
                <w:r w:rsidR="00A166C7">
                  <w:t xml:space="preserve">to </w:t>
                </w:r>
                <w:r>
                  <w:t>only the appropriate committees of the Legislature.</w:t>
                </w:r>
              </w:p>
              <w:p w:rsidRPr="007D1589" w:rsidR="001B4E53" w:rsidP="002B0E82" w:rsidRDefault="003B7961">
                <w:pPr>
                  <w:pStyle w:val="Effect"/>
                  <w:suppressLineNumbers/>
                  <w:shd w:val="clear" w:color="auto" w:fill="auto"/>
                  <w:ind w:left="0" w:firstLine="0"/>
                </w:pPr>
                <w:r>
                  <w:t xml:space="preserve">     Specifies that the legislative members of the task force may receive reimbursement </w:t>
                </w:r>
                <w:r w:rsidR="002B0E82">
                  <w:t>in accordance with</w:t>
                </w:r>
                <w:r>
                  <w:t xml:space="preserve"> provisions under current law.</w:t>
                </w:r>
              </w:p>
            </w:tc>
          </w:tr>
        </w:sdtContent>
      </w:sdt>
      <w:permEnd w:id="1322742940"/>
    </w:tbl>
    <w:p w:rsidR="00DF5D0E" w:rsidP="00B17F7E" w:rsidRDefault="00DF5D0E">
      <w:pPr>
        <w:pStyle w:val="BillEnd"/>
        <w:suppressLineNumbers/>
      </w:pPr>
    </w:p>
    <w:p w:rsidR="00DF5D0E" w:rsidP="00B17F7E" w:rsidRDefault="00DE256E">
      <w:pPr>
        <w:pStyle w:val="BillEnd"/>
        <w:suppressLineNumbers/>
      </w:pPr>
      <w:r>
        <w:rPr>
          <w:b/>
        </w:rPr>
        <w:t>--- END ---</w:t>
      </w:r>
    </w:p>
    <w:p w:rsidR="00DF5D0E" w:rsidP="00B17F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7E" w:rsidRDefault="00B17F7E" w:rsidP="00DF5D0E">
      <w:r>
        <w:separator/>
      </w:r>
    </w:p>
  </w:endnote>
  <w:endnote w:type="continuationSeparator" w:id="0">
    <w:p w:rsidR="00B17F7E" w:rsidRDefault="00B17F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37" w:rsidRDefault="00BF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780F">
    <w:pPr>
      <w:pStyle w:val="AmendDraftFooter"/>
    </w:pPr>
    <w:fldSimple w:instr=" TITLE   \* MERGEFORMAT ">
      <w:r>
        <w:t>5489-S2 AMH .... OMLI 232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780F">
    <w:pPr>
      <w:pStyle w:val="AmendDraftFooter"/>
    </w:pPr>
    <w:fldSimple w:instr=" TITLE   \* MERGEFORMAT ">
      <w:r>
        <w:t>5489-S2 AMH .... OMLI 232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7E" w:rsidRDefault="00B17F7E" w:rsidP="00DF5D0E">
      <w:r>
        <w:separator/>
      </w:r>
    </w:p>
  </w:footnote>
  <w:footnote w:type="continuationSeparator" w:id="0">
    <w:p w:rsidR="00B17F7E" w:rsidRDefault="00B17F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37" w:rsidRDefault="00BF6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1027FFC"/>
    <w:multiLevelType w:val="hybridMultilevel"/>
    <w:tmpl w:val="549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7407F"/>
    <w:multiLevelType w:val="hybridMultilevel"/>
    <w:tmpl w:val="F154CC9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EC3"/>
    <w:rsid w:val="00020218"/>
    <w:rsid w:val="00024E92"/>
    <w:rsid w:val="00050639"/>
    <w:rsid w:val="0005410D"/>
    <w:rsid w:val="00060D21"/>
    <w:rsid w:val="00096165"/>
    <w:rsid w:val="000C000C"/>
    <w:rsid w:val="000C6C82"/>
    <w:rsid w:val="000E603A"/>
    <w:rsid w:val="001019F3"/>
    <w:rsid w:val="00102468"/>
    <w:rsid w:val="00106544"/>
    <w:rsid w:val="001354FF"/>
    <w:rsid w:val="00146AAF"/>
    <w:rsid w:val="00162250"/>
    <w:rsid w:val="00195768"/>
    <w:rsid w:val="001A775A"/>
    <w:rsid w:val="001B4E53"/>
    <w:rsid w:val="001C1B27"/>
    <w:rsid w:val="001C7F91"/>
    <w:rsid w:val="001E60C2"/>
    <w:rsid w:val="001E6675"/>
    <w:rsid w:val="002020EF"/>
    <w:rsid w:val="00217E8A"/>
    <w:rsid w:val="00265296"/>
    <w:rsid w:val="00281CBD"/>
    <w:rsid w:val="002B0E82"/>
    <w:rsid w:val="002C2B6C"/>
    <w:rsid w:val="002C7CC1"/>
    <w:rsid w:val="002E455C"/>
    <w:rsid w:val="003054C9"/>
    <w:rsid w:val="003158F9"/>
    <w:rsid w:val="00316CD9"/>
    <w:rsid w:val="003216DA"/>
    <w:rsid w:val="00345A30"/>
    <w:rsid w:val="003506A3"/>
    <w:rsid w:val="003B7961"/>
    <w:rsid w:val="003E2FC6"/>
    <w:rsid w:val="003E783B"/>
    <w:rsid w:val="003F76C1"/>
    <w:rsid w:val="004029EF"/>
    <w:rsid w:val="00465523"/>
    <w:rsid w:val="004724B1"/>
    <w:rsid w:val="00492DDC"/>
    <w:rsid w:val="004A7AB3"/>
    <w:rsid w:val="004B1FD2"/>
    <w:rsid w:val="004C6615"/>
    <w:rsid w:val="004D3D1B"/>
    <w:rsid w:val="004E1EDD"/>
    <w:rsid w:val="004F0F3D"/>
    <w:rsid w:val="00523C5A"/>
    <w:rsid w:val="00524942"/>
    <w:rsid w:val="005B4D98"/>
    <w:rsid w:val="005B64C0"/>
    <w:rsid w:val="005E69C3"/>
    <w:rsid w:val="00605C39"/>
    <w:rsid w:val="0061270D"/>
    <w:rsid w:val="006325B5"/>
    <w:rsid w:val="00643C8E"/>
    <w:rsid w:val="00646F11"/>
    <w:rsid w:val="00671AA6"/>
    <w:rsid w:val="006841E6"/>
    <w:rsid w:val="006B4FA0"/>
    <w:rsid w:val="006E7EEF"/>
    <w:rsid w:val="006F7027"/>
    <w:rsid w:val="007049E4"/>
    <w:rsid w:val="0071638C"/>
    <w:rsid w:val="0071780F"/>
    <w:rsid w:val="0072335D"/>
    <w:rsid w:val="0072541D"/>
    <w:rsid w:val="0074715A"/>
    <w:rsid w:val="00747F91"/>
    <w:rsid w:val="00757317"/>
    <w:rsid w:val="007769AF"/>
    <w:rsid w:val="00793760"/>
    <w:rsid w:val="007A6AB2"/>
    <w:rsid w:val="007B40AF"/>
    <w:rsid w:val="007B5F00"/>
    <w:rsid w:val="007D1589"/>
    <w:rsid w:val="007D35D4"/>
    <w:rsid w:val="007D3E6B"/>
    <w:rsid w:val="007E4098"/>
    <w:rsid w:val="00813B8D"/>
    <w:rsid w:val="008215C1"/>
    <w:rsid w:val="008314BE"/>
    <w:rsid w:val="0083749C"/>
    <w:rsid w:val="008443FE"/>
    <w:rsid w:val="00846034"/>
    <w:rsid w:val="00866EC1"/>
    <w:rsid w:val="00880EB3"/>
    <w:rsid w:val="00890E41"/>
    <w:rsid w:val="00897840"/>
    <w:rsid w:val="008B49BD"/>
    <w:rsid w:val="008C7E6E"/>
    <w:rsid w:val="00931B84"/>
    <w:rsid w:val="00944EEB"/>
    <w:rsid w:val="0096303F"/>
    <w:rsid w:val="00972869"/>
    <w:rsid w:val="00984CD1"/>
    <w:rsid w:val="009D3EFE"/>
    <w:rsid w:val="009F23A9"/>
    <w:rsid w:val="00A01F29"/>
    <w:rsid w:val="00A06FBE"/>
    <w:rsid w:val="00A166C7"/>
    <w:rsid w:val="00A16862"/>
    <w:rsid w:val="00A17B5B"/>
    <w:rsid w:val="00A221AE"/>
    <w:rsid w:val="00A33B4C"/>
    <w:rsid w:val="00A4729B"/>
    <w:rsid w:val="00A70F6F"/>
    <w:rsid w:val="00A750C4"/>
    <w:rsid w:val="00A93D4A"/>
    <w:rsid w:val="00AA1230"/>
    <w:rsid w:val="00AA549F"/>
    <w:rsid w:val="00AB682C"/>
    <w:rsid w:val="00AD2D0A"/>
    <w:rsid w:val="00B17F7E"/>
    <w:rsid w:val="00B31D1C"/>
    <w:rsid w:val="00B41494"/>
    <w:rsid w:val="00B518D0"/>
    <w:rsid w:val="00B56650"/>
    <w:rsid w:val="00B73E0A"/>
    <w:rsid w:val="00B961E0"/>
    <w:rsid w:val="00BC4BC5"/>
    <w:rsid w:val="00BE765D"/>
    <w:rsid w:val="00BF44DF"/>
    <w:rsid w:val="00BF6937"/>
    <w:rsid w:val="00C253E0"/>
    <w:rsid w:val="00C61A83"/>
    <w:rsid w:val="00C8108C"/>
    <w:rsid w:val="00D244D9"/>
    <w:rsid w:val="00D40447"/>
    <w:rsid w:val="00D659AC"/>
    <w:rsid w:val="00DA47F3"/>
    <w:rsid w:val="00DC2C13"/>
    <w:rsid w:val="00DE256E"/>
    <w:rsid w:val="00DF5D0E"/>
    <w:rsid w:val="00E1471A"/>
    <w:rsid w:val="00E267B1"/>
    <w:rsid w:val="00E41CC6"/>
    <w:rsid w:val="00E66F5D"/>
    <w:rsid w:val="00E831A5"/>
    <w:rsid w:val="00E850E7"/>
    <w:rsid w:val="00EB5E7B"/>
    <w:rsid w:val="00EB7B53"/>
    <w:rsid w:val="00EC4C96"/>
    <w:rsid w:val="00ED2EEB"/>
    <w:rsid w:val="00F229DE"/>
    <w:rsid w:val="00F304D3"/>
    <w:rsid w:val="00F37492"/>
    <w:rsid w:val="00F4663F"/>
    <w:rsid w:val="00F7274E"/>
    <w:rsid w:val="00F92E20"/>
    <w:rsid w:val="00F960DC"/>
    <w:rsid w:val="00FC763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12EC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WALJ</SponsorAcronym>
  <DrafterAcronym>OMLI</DrafterAcronym>
  <DraftNumber>232</DraftNumber>
  <ReferenceNumber>2SSB 5489</ReferenceNumber>
  <Floor>H AMD TO APP COMM AMD (H-2877.1/19)</Floor>
  <AmendmentNumber> 668</AmendmentNumber>
  <Sponsors>By Representative Walsh</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88</TotalTime>
  <Pages>3</Pages>
  <Words>926</Words>
  <Characters>4983</Characters>
  <Application>Microsoft Office Word</Application>
  <DocSecurity>8</DocSecurity>
  <Lines>121</Lines>
  <Paragraphs>38</Paragraphs>
  <ScaleCrop>false</ScaleCrop>
  <HeadingPairs>
    <vt:vector size="2" baseType="variant">
      <vt:variant>
        <vt:lpstr>Title</vt:lpstr>
      </vt:variant>
      <vt:variant>
        <vt:i4>1</vt:i4>
      </vt:variant>
    </vt:vector>
  </HeadingPairs>
  <TitlesOfParts>
    <vt:vector size="1" baseType="lpstr">
      <vt:lpstr>5489-S2 AMH .... OMLI 232</vt:lpstr>
    </vt:vector>
  </TitlesOfParts>
  <Company>Washington State Legislature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WALJ OMLI 232</dc:title>
  <dc:creator>Desiree Omli</dc:creator>
  <cp:lastModifiedBy>Omli, Desiree</cp:lastModifiedBy>
  <cp:revision>84</cp:revision>
  <dcterms:created xsi:type="dcterms:W3CDTF">2019-04-11T02:53:00Z</dcterms:created>
  <dcterms:modified xsi:type="dcterms:W3CDTF">2019-04-11T17:56:00Z</dcterms:modified>
</cp:coreProperties>
</file>