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f80c844c84e11" /></Relationships>
</file>

<file path=word/document.xml><?xml version="1.0" encoding="utf-8"?>
<w:document xmlns:w="http://schemas.openxmlformats.org/wordprocessingml/2006/main">
  <w:body>
    <w:p>
      <w:r>
        <w:rPr>
          <w:b/>
        </w:rPr>
        <w:r>
          <w:rPr/>
          <w:t xml:space="preserve">5526-S.E</w:t>
        </w:r>
      </w:r>
      <w:r>
        <w:rPr>
          <w:b/>
        </w:rPr>
        <w:t xml:space="preserve"> </w:t>
        <w:t xml:space="preserve">AMH</w:t>
      </w:r>
      <w:r>
        <w:rPr>
          <w:b/>
        </w:rPr>
        <w:t xml:space="preserve"> </w:t>
        <w:r>
          <w:rPr/>
          <w:t xml:space="preserve">APP</w:t>
        </w:r>
      </w:r>
      <w:r>
        <w:rPr>
          <w:b/>
        </w:rPr>
        <w:t xml:space="preserve"> </w:t>
        <w:r>
          <w:rPr/>
          <w:t xml:space="preserve">H2824.2</w:t>
        </w:r>
      </w:r>
      <w:r>
        <w:rPr>
          <w:b/>
        </w:rPr>
        <w:t xml:space="preserve"> - NOT FOR FLOOR USE</w:t>
      </w:r>
    </w:p>
    <w:p>
      <w:pPr>
        <w:ind w:left="0" w:right="0" w:firstLine="576"/>
      </w:pPr>
    </w:p>
    <w:p>
      <w:pPr>
        <w:spacing w:before="480" w:after="0" w:line="408" w:lineRule="exact"/>
      </w:pPr>
      <w:r>
        <w:rPr>
          <w:b/>
          <w:u w:val="single"/>
        </w:rPr>
        <w:t xml:space="preserve">ESSB 5526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data submitted by health carriers to the health benefit exchange for purposes of establishing standardized health plans under section 1 of this act are exempt from disclosure under this chapter. This subsection applies to health carrier data in the custody of the insurance commissioner for purposes of consulting with the health benefit exchange under section 1(1) of this act.</w:t>
      </w:r>
    </w:p>
    <w:p>
      <w:pPr>
        <w:spacing w:before="0" w:after="0" w:line="408" w:lineRule="exact"/>
        <w:ind w:left="0" w:right="0" w:firstLine="576"/>
        <w:jc w:val="left"/>
      </w:pPr>
      <w:r>
        <w:rPr/>
        <w:t xml:space="preserve">(2) Any data submitted by health carriers to the health care authority for purposes of section 3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w:t>
      </w:r>
    </w:p>
    <w:p>
      <w:pPr>
        <w:spacing w:before="0" w:after="0" w:line="408" w:lineRule="exact"/>
        <w:ind w:left="0" w:right="0" w:firstLine="576"/>
        <w:jc w:val="left"/>
      </w:pPr>
      <w:r>
        <w:rPr/>
        <w:t xml:space="preserve">(ii) Meet national accreditation standards; and</w:t>
      </w:r>
    </w:p>
    <w:p>
      <w:pPr>
        <w:spacing w:before="0" w:after="0" w:line="408" w:lineRule="exact"/>
        <w:ind w:left="0" w:right="0" w:firstLine="576"/>
        <w:jc w:val="left"/>
      </w:pPr>
      <w:r>
        <w:rPr/>
        <w:t xml:space="preserve">(iii) Align with clinical criteria published by the authority;</w:t>
      </w:r>
    </w:p>
    <w:p>
      <w:pPr>
        <w:spacing w:before="0" w:after="0" w:line="408" w:lineRule="exact"/>
        <w:ind w:left="0" w:right="0" w:firstLine="576"/>
        <w:jc w:val="left"/>
      </w:pPr>
      <w:r>
        <w:rPr/>
        <w:t xml:space="preserve">(g)(i) The total amount the qualified health plan reimburses providers and facilities for all covered benefits in the statewide aggregate, excluding pharmacy benefits, may not exceed one hundred fifty percent of the total amount medicare would have reimbursed providers and facilities for the same or similar services in the statewide aggregate;</w:t>
      </w:r>
    </w:p>
    <w:p>
      <w:pPr>
        <w:spacing w:before="0" w:after="0" w:line="408" w:lineRule="exact"/>
        <w:ind w:left="0" w:right="0" w:firstLine="576"/>
        <w:jc w:val="left"/>
      </w:pPr>
      <w:r>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this subsection (2)(g) as a requirement of the contracting process under this section;</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consultation with the insurance commissioner and the Washington health benefit exchange, must submit a report and recommendations to the legislature by December 1, 2022, regarding:</w:t>
      </w:r>
    </w:p>
    <w:p>
      <w:pPr>
        <w:spacing w:before="0" w:after="0" w:line="408" w:lineRule="exact"/>
        <w:ind w:left="0" w:right="0" w:firstLine="576"/>
        <w:jc w:val="left"/>
      </w:pPr>
      <w:r>
        <w:rPr/>
        <w:t xml:space="preserve">(a) The impact on qualified health plan choice, affordability, and market stability of linking offering a qualified health plan under section 3 of this act with participation in programs administered by the public employees' benefits board, the school employees' benefits board, or the health care authority;</w:t>
      </w:r>
    </w:p>
    <w:p>
      <w:pPr>
        <w:spacing w:before="0" w:after="0" w:line="408" w:lineRule="exact"/>
        <w:ind w:left="0" w:right="0" w:firstLine="576"/>
        <w:jc w:val="left"/>
      </w:pPr>
      <w:r>
        <w:rPr/>
        <w:t xml:space="preserve">(b) The impact on qualified health plan choice, qualified health plan provider networks, affordability, and market stability of linking provider participation in the provider networks of qualified health plans offered under section 3 of this act with provider participation in provider networks of programs administered by the public employees' benefits board, the school employees' benefits board, or the health care authority; and</w:t>
      </w:r>
    </w:p>
    <w:p>
      <w:pPr>
        <w:spacing w:before="0" w:after="0" w:line="408" w:lineRule="exact"/>
        <w:ind w:left="0" w:right="0" w:firstLine="576"/>
        <w:jc w:val="left"/>
      </w:pPr>
      <w:r>
        <w:rPr/>
        <w:t xml:space="preserve">(c) Other issues the health care authority deems relevant to the successful implementation of this act.</w:t>
      </w:r>
    </w:p>
    <w:p>
      <w:pPr>
        <w:spacing w:before="0" w:after="0" w:line="408" w:lineRule="exact"/>
        <w:ind w:left="0" w:right="0" w:firstLine="576"/>
        <w:jc w:val="left"/>
      </w:pPr>
      <w:r>
        <w:rPr/>
        <w:t xml:space="preserve">(2)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 and must assess the impact of premium subsidies on the uninsured rate.</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Standardized Plans: Allows the Exchange to make modifications to standardized plans based on changes to state and federal law. Removes the requirement that the Insurance Commissioner review proposed standardized plans. Makes data submitted by health carriers to the Exchange exempt from the Public Records Act only, instead of being both confidential and exempt from the Public Records Act. Exempts from the Public Records Act data in the custody of the Insurance Commissioner for purposes of consulting with the Exchange.</w:t>
      </w:r>
    </w:p>
    <w:p>
      <w:pPr>
        <w:spacing w:before="0" w:after="0" w:line="408" w:lineRule="exact"/>
        <w:ind w:left="0" w:right="0" w:firstLine="576"/>
        <w:jc w:val="left"/>
      </w:pPr>
      <w:r>
        <w:rPr/>
        <w:t xml:space="preserve">HCA Procurement: Requires health carriers contracting with the Health Care Authority (HCA) to offer at least one bronze, one silver, and one gold qualified health plan (QHP) in a single county or in multiple counties. Changes the goal of the procurement to having a choice of QHP in every county in the state (instead of having HCA-contracted carriers in every county in the state). Prohibits the HCA from executing a contract with a health carrier until after the Insurance Commissioner and the Exchange perform the requirements necessary for QHP certification. Allows an HCA-contracted QHP to use an integrated delivery system. Requires an HCA-contracted QHP to comply with HCA requirements relating to pharmacy benefits, including increasing generic utilization or use of evidence-based formularies. Exempts data submitted by health carriers for purposes of the procurement from the Public Records Act.</w:t>
      </w:r>
    </w:p>
    <w:p>
      <w:pPr>
        <w:spacing w:before="0" w:after="0" w:line="408" w:lineRule="exact"/>
        <w:ind w:left="0" w:right="0" w:firstLine="576"/>
        <w:jc w:val="left"/>
      </w:pPr>
      <w:r>
        <w:rPr/>
        <w:t xml:space="preserve">HCA-Procured Health Plan Provider Rates: Prohibits the total amount an HCA-procured health plan reimburses providers and facilities in the statewide aggregate, excluding pharmacy benefits, from exceeding 150% of the total amount Medicare would have reimbursed for the same or similar services in the statewide aggregate. Allows, beginning in 2023, the HCA to suspend the provider rate limit if it finds that selective contracting will lead to actuarially sound premium rates that increase at a rate no greater than the rate of inflation calculated using the consumer price index. Requires primary care services to be reimbursed at 135% of the Medicare rate for the same or similar service. Removes the requirement that the HCA consider factors proposed by health carriers with the goal of reducing premiums below 2019 levels.</w:t>
      </w:r>
    </w:p>
    <w:p>
      <w:pPr>
        <w:spacing w:before="0" w:after="0" w:line="408" w:lineRule="exact"/>
        <w:ind w:left="0" w:right="0" w:firstLine="576"/>
        <w:jc w:val="left"/>
      </w:pPr>
      <w:r>
        <w:rPr/>
        <w:t xml:space="preserve">Studies and Reports: Requires the Exchange to consult with the Insurance Commissioner when studying the impact of offering only standardized plans on the Exchange, instead of requiring the study to be performed jointly by the Exchange and the Insurance Commissioner. Requires the HCA, in consultation with the Insurance Commissioner to study the impact of linking HCA-contracted QHPs with participation in public health programs administered by the Public Employees' Benefits Board, the School Employees' Benefits Board, and the HCA. Requires the Exchange's premium subsidy plan to include an assessment of the impact of premium subsidies on the uninsured rate.</w:t>
      </w:r>
    </w:p>
    <w:p>
      <w:pPr>
        <w:spacing w:before="0" w:after="0" w:line="408" w:lineRule="exact"/>
        <w:ind w:left="0" w:right="0" w:firstLine="576"/>
        <w:jc w:val="left"/>
      </w:pPr>
      <w:r>
        <w:rPr/>
        <w:t xml:space="preserve">Miscellaneous: Adds a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e387631f64b9a" /></Relationships>
</file>