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dfac7f1bb4f5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H2909.1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5695</w:t>
      </w:r>
      <w:r>
        <w:t xml:space="preserve"> -</w:t>
      </w:r>
      <w:r>
        <w:t xml:space="preserve"> </w:t>
        <w:t xml:space="preserve">H AMD TO TR COMM AMD (H-2801.2/19)</w:t>
      </w:r>
      <w:r>
        <w:t xml:space="preserve"> </w:t>
      </w:r>
      <w:r>
        <w:rPr>
          <w:b/>
        </w:rPr>
        <w:t xml:space="preserve">569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  <w:r>
        <w:rPr>
          <w:b/>
        </w:rPr>
        <w:t xml:space="preserve">ADOPTED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289</w:t>
      </w:r>
      <w:r>
        <w:rPr/>
        <w:t xml:space="preserve"> and 2016 c 203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Except for traffic violations committed under RCW 46.61.165, t</w:t>
      </w:r>
      <w:r>
        <w:rPr/>
        <w:t xml:space="preserve">he department shall suspend all driving privileges of a person when the department receives notice from a court under RCW 46.63.070(6), 46.63.110(6), or 46.64.025 that the person has failed to respond to a notice of traffic infraction for a moving violation, failed to appear at a requested hearing for a moving violation, violated a written promise to appear in court for a notice of infraction for a moving violation, or has failed to comply with the terms of a notice of traffic infraction, criminal complaint, or citation for a moving violation, or when the department receives notice from another state under Article IV of the nonresident violator compact under RCW 46.23.010 or from a jurisdiction that has entered into an agreement with the department under RCW 46.23.020, other than for a standing, stopping, or parking violation, provided that the traffic infraction or traffic offense is committed on or after July 1, 2005. A suspension under this section takes effect pursuant to the provisions of RCW 46.20.245, and remains in effect until the department has received a certificate from the court showing that the case has been adjudicated, and until the person meets the requirements of RCW 46.20.311. In the case of failure to respond to a traffic infraction issued under RCW 46.55.105, the department shall suspend all driving privileges until the person provides evidence from the court that all penalties and restitution have been paid. A suspension under this section does not take effect if, prior to the effective date of the suspension, the department receives a certificate from the court showing that the case has been adjudicated."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(e) Violations committed under this section are excluded from eligibility as a moving violation for driver's license suspension under RCW 46.20.289 when a person subsequently fails to respond to a notice of traffic infraction for this moving violation, fails to appear at a requested hearing for this moving violation, violates a written promise to appear in court for a notice of infraction for this moving violation, or fails to comply with the terms of a notice of traffic infraction for this moving violation.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high occupancy vehicle (HOV) lane usage violations from eligibility as a moving violation for driver's license suspension when a person fails to respond to a notice of this traffic infraction, fails to appear at a requested hearing for this traffic infraction, violates a written promise to appear in court for a notice of this infraction, or fails to comply with the terms of a notice of this traffic infraction for a moving violation.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0c566bba448cd" /></Relationships>
</file>