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391722d3840e0" /></Relationships>
</file>

<file path=word/document.xml><?xml version="1.0" encoding="utf-8"?>
<w:document xmlns:w="http://schemas.openxmlformats.org/wordprocessingml/2006/main">
  <w:body>
    <w:p>
      <w:r>
        <w:rPr>
          <w:b/>
        </w:rPr>
        <w:r>
          <w:rPr/>
          <w:t xml:space="preserve">5765.E</w:t>
        </w:r>
      </w:r>
      <w:r>
        <w:rPr>
          <w:b/>
        </w:rPr>
        <w:t xml:space="preserve"> </w:t>
        <w:t xml:space="preserve">AMH</w:t>
      </w:r>
      <w:r>
        <w:rPr>
          <w:b/>
        </w:rPr>
        <w:t xml:space="preserve"> </w:t>
        <w:r>
          <w:rPr/>
          <w:t xml:space="preserve">LAWS</w:t>
        </w:r>
      </w:r>
      <w:r>
        <w:rPr>
          <w:b/>
        </w:rPr>
        <w:t xml:space="preserve"> </w:t>
        <w:r>
          <w:rPr/>
          <w:t xml:space="preserve">H2728.1</w:t>
        </w:r>
      </w:r>
      <w:r>
        <w:rPr>
          <w:b/>
        </w:rPr>
        <w:t xml:space="preserve"> - NOT FOR FLOOR USE</w:t>
      </w:r>
    </w:p>
    <w:p>
      <w:pPr>
        <w:ind w:left="0" w:right="0" w:firstLine="576"/>
      </w:pPr>
    </w:p>
    <w:p>
      <w:pPr>
        <w:spacing w:before="480" w:after="0" w:line="408" w:lineRule="exact"/>
      </w:pPr>
      <w:r>
        <w:rPr>
          <w:b/>
          <w:u w:val="single"/>
        </w:rPr>
        <w:t xml:space="preserve">ESB 5765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purposes of section 2 of this act, the legislature finds that there are a variety of business models within the freight transportation industry. New freight business models continue to evolve, with the potential to create confusion regarding which entity is considered the employer of a driver for purposes of industrial insurance. The legislature intends to clarify, in alignment with current law and practice, the circumstances under which a freight broker or forwarder who engages with a carrier for delivery of freight may not be considered the employer of the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may not be the employer of the drivers engaged by such common or contract carrier to operate commercial vehicles owned or operated by such common or contract carrier unless the common or contract carrier is also the driver.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intent section to specify that the purpose of the act is to clarify an employer exemption under industrial insurance in alignment with current law and practice. Provides that for purposes of the specified employer exemption for industrial insurance, a freight broker or forwarder may not be considered the employer, rather than is not considered the employer, when engaging with a carrier for delivery of freight.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774674a1b4857" /></Relationships>
</file>