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ea45ba24364210" /></Relationships>
</file>

<file path=word/document.xml><?xml version="1.0" encoding="utf-8"?>
<w:document xmlns:w="http://schemas.openxmlformats.org/wordprocessingml/2006/main">
  <w:body>
    <w:p>
      <w:r>
        <w:rPr>
          <w:b/>
        </w:rPr>
        <w:r>
          <w:rPr/>
          <w:t xml:space="preserve">5887.E2</w:t>
        </w:r>
      </w:r>
      <w:r>
        <w:rPr>
          <w:b/>
        </w:rPr>
        <w:t xml:space="preserve"> </w:t>
        <w:t xml:space="preserve">AMH</w:t>
      </w:r>
      <w:r>
        <w:rPr>
          <w:b/>
        </w:rPr>
        <w:t xml:space="preserve"> </w:t>
        <w:r>
          <w:rPr/>
          <w:t xml:space="preserve">HCW</w:t>
        </w:r>
      </w:r>
      <w:r>
        <w:rPr>
          <w:b/>
        </w:rPr>
        <w:t xml:space="preserve"> </w:t>
        <w:r>
          <w:rPr/>
          <w:t xml:space="preserve">H5018.1</w:t>
        </w:r>
      </w:r>
      <w:r>
        <w:rPr>
          <w:b/>
        </w:rPr>
        <w:t xml:space="preserve"> - NOT FOR FLOOR USE</w:t>
      </w:r>
    </w:p>
    <w:p>
      <w:pPr>
        <w:ind w:left="0" w:right="0" w:firstLine="576"/>
      </w:pPr>
      <w:r>
        <w:rPr/>
        <w:t xml:space="preserve"> </w:t>
      </w:r>
    </w:p>
    <w:p>
      <w:pPr>
        <w:spacing w:before="480" w:after="0" w:line="408" w:lineRule="exact"/>
      </w:pPr>
      <w:r>
        <w:rPr>
          <w:b/>
          <w:u w:val="single"/>
        </w:rPr>
        <w:t xml:space="preserve">2ESB 5887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03/03/2020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facilitate patient access to appropriate therapies for newly diagnosed health conditions while recognizing the necessity for health carriers to employ reasonable utilization management techniques.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w:t>
      </w:r>
      <w:r>
        <w:rPr/>
        <w:t xml:space="preserve"> and 2019 c 308 s 22 are each amended to read as follows:</w:t>
      </w:r>
    </w:p>
    <w:p>
      <w:pPr>
        <w:spacing w:before="0" w:after="0" w:line="408" w:lineRule="exact"/>
        <w:ind w:left="0" w:right="0" w:firstLine="576"/>
        <w:jc w:val="left"/>
      </w:pPr>
      <w:r>
        <w:rPr/>
        <w:t xml:space="preserve">(1) A health carrier </w:t>
      </w:r>
      <w:r>
        <w:rPr>
          <w:u w:val="single"/>
        </w:rPr>
        <w:t xml:space="preserve">or its contracted entity</w:t>
      </w:r>
      <w:r>
        <w:rPr/>
        <w:t xml:space="preserve">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w:t>
      </w:r>
      <w:r>
        <w:rPr>
          <w:u w:val="single"/>
        </w:rPr>
        <w:t xml:space="preserve">(a)</w:t>
      </w:r>
      <w:r>
        <w:rPr/>
        <w:t xml:space="preserve"> A health carrier </w:t>
      </w:r>
      <w:r>
        <w:rPr>
          <w:u w:val="single"/>
        </w:rPr>
        <w:t xml:space="preserve">or its contracted entity</w:t>
      </w:r>
      <w:r>
        <w:rPr/>
        <w:t xml:space="preserve"> may not require </w:t>
      </w:r>
      <w:r>
        <w:rPr>
          <w:u w:val="single"/>
        </w:rPr>
        <w:t xml:space="preserve">utilization management or review of any kind including, but not limited to,</w:t>
      </w:r>
      <w:r>
        <w:rPr/>
        <w:t xml:space="preserve"> prior</w:t>
      </w:r>
      <w:r>
        <w:rPr>
          <w:u w:val="single"/>
        </w:rPr>
        <w:t xml:space="preserve">, concurrent, or postservice</w:t>
      </w:r>
      <w:r>
        <w:rPr/>
        <w:t xml:space="preserve"> authorization for an initial evaluation and management visit and up to six </w:t>
      </w:r>
      <w:r>
        <w:t>((</w:t>
      </w:r>
      <w:r>
        <w:rPr>
          <w:strike/>
        </w:rPr>
        <w:t xml:space="preserve">consecutive</w:t>
      </w:r>
      <w:r>
        <w:t>))</w:t>
      </w:r>
      <w:r>
        <w:rPr/>
        <w:t xml:space="preserve"> treatment visits with a contracting provider in a new episode of care </w:t>
      </w:r>
      <w:r>
        <w:t>((</w:t>
      </w:r>
      <w:r>
        <w:rPr>
          <w:strike/>
        </w:rPr>
        <w:t xml:space="preserve">of chiropractic</w:t>
      </w:r>
      <w:r>
        <w:t>))</w:t>
      </w:r>
      <w:r>
        <w:rPr/>
        <w:t xml:space="preserve"> </w:t>
      </w:r>
      <w:r>
        <w:rPr>
          <w:u w:val="single"/>
        </w:rPr>
        <w:t xml:space="preserve">for each of the following: Chiropractic</w:t>
      </w:r>
      <w:r>
        <w:rPr/>
        <w:t xml:space="preserve">, physical therapy, occupational therapy, acupuncture and Eastern medicine, massage therapy, or speech and hearing therapies </w:t>
      </w:r>
      <w:r>
        <w:t>((</w:t>
      </w:r>
      <w:r>
        <w:rPr>
          <w:strike/>
        </w:rPr>
        <w:t xml:space="preserve">that meet the standards of medical necessity and</w:t>
      </w:r>
      <w:r>
        <w:t>))</w:t>
      </w:r>
      <w:r>
        <w:rPr>
          <w:u w:val="single"/>
        </w:rPr>
        <w:t xml:space="preserve">. Visits for which utilization management or review is prohibited under this section</w:t>
      </w:r>
      <w:r>
        <w:rPr/>
        <w:t xml:space="preserve"> are subject to quantitative treatment limits of the health plan.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u w:val="single"/>
        </w:rPr>
        <w:t xml:space="preserve">(b) For visits for which utilization management or review is prohibited under this section, a health carrier or its contracted entity may not:</w:t>
      </w:r>
    </w:p>
    <w:p>
      <w:pPr>
        <w:spacing w:before="0" w:after="0" w:line="408" w:lineRule="exact"/>
        <w:ind w:left="0" w:right="0" w:firstLine="576"/>
        <w:jc w:val="left"/>
      </w:pPr>
      <w:r>
        <w:rPr>
          <w:u w:val="single"/>
        </w:rPr>
        <w:t xml:space="preserve">(i) Deny or limit coverage on the basis of medical necessity or appropriateness; or</w:t>
      </w:r>
    </w:p>
    <w:p>
      <w:pPr>
        <w:spacing w:before="0" w:after="0" w:line="408" w:lineRule="exact"/>
        <w:ind w:left="0" w:right="0" w:firstLine="576"/>
        <w:jc w:val="left"/>
      </w:pPr>
      <w:r>
        <w:rPr>
          <w:u w:val="single"/>
        </w:rPr>
        <w:t xml:space="preserve">(ii) Retroactively deny care or refuse payment for the visits.</w:t>
      </w:r>
    </w:p>
    <w:p>
      <w:pPr>
        <w:spacing w:before="0" w:after="0" w:line="408" w:lineRule="exact"/>
        <w:ind w:left="0" w:right="0" w:firstLine="576"/>
        <w:jc w:val="left"/>
      </w:pPr>
      <w:r>
        <w:rPr/>
        <w:t xml:space="preserve">(3) A health carrier shall post on its web site and provide upon the request of a covered person or contracting provider any prior authorization standards, criteria, or information the carrier uses for medical necessity decisions.</w:t>
      </w:r>
    </w:p>
    <w:p>
      <w:pPr>
        <w:spacing w:before="0" w:after="0" w:line="408" w:lineRule="exact"/>
        <w:ind w:left="0" w:right="0" w:firstLine="576"/>
        <w:jc w:val="left"/>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(6) </w:t>
      </w:r>
      <w:r>
        <w:rPr>
          <w:u w:val="single"/>
        </w:rPr>
        <w:t xml:space="preserve">Nothing in this section prevents a health carrier from denying coverage based on insurance fraud.</w:t>
      </w:r>
    </w:p>
    <w:p>
      <w:pPr>
        <w:spacing w:before="0" w:after="0" w:line="408" w:lineRule="exact"/>
        <w:ind w:left="0" w:right="0" w:firstLine="576"/>
        <w:jc w:val="left"/>
      </w:pPr>
      <w:r>
        <w:rPr>
          <w:u w:val="single"/>
        </w:rPr>
        <w:t xml:space="preserve">(7)</w:t>
      </w:r>
      <w:r>
        <w:rPr/>
        <w:t xml:space="preserve"> For purposes of this section:</w:t>
      </w:r>
    </w:p>
    <w:p>
      <w:pPr>
        <w:spacing w:before="0" w:after="0" w:line="408" w:lineRule="exact"/>
        <w:ind w:left="0" w:right="0" w:firstLine="576"/>
        <w:jc w:val="left"/>
      </w:pPr>
      <w:r>
        <w:rPr/>
        <w:t xml:space="preserve">(a) "New episode of care" means treatment for a new </w:t>
      </w:r>
      <w:r>
        <w:t>((</w:t>
      </w:r>
      <w:r>
        <w:rPr>
          <w:strike/>
        </w:rPr>
        <w:t xml:space="preserve">or recurrent</w:t>
      </w:r>
      <w:r>
        <w:t>))</w:t>
      </w:r>
      <w:r>
        <w:rPr/>
        <w:t xml:space="preserve"> condition </w:t>
      </w:r>
      <w:r>
        <w:rPr>
          <w:u w:val="single"/>
        </w:rPr>
        <w:t xml:space="preserve">or diagnosis</w:t>
      </w:r>
      <w:r>
        <w:rPr/>
        <w:t xml:space="preserve"> for which the enrollee has not been treated by </w:t>
      </w:r>
      <w:r>
        <w:t>((</w:t>
      </w:r>
      <w:r>
        <w:rPr>
          <w:strike/>
        </w:rPr>
        <w:t xml:space="preserve">the</w:t>
      </w:r>
      <w:r>
        <w:t>))</w:t>
      </w:r>
      <w:r>
        <w:rPr/>
        <w:t xml:space="preserve"> </w:t>
      </w:r>
      <w:r>
        <w:rPr>
          <w:u w:val="single"/>
        </w:rPr>
        <w:t xml:space="preserve">a</w:t>
      </w:r>
      <w:r>
        <w:rPr/>
        <w:t xml:space="preserve"> provider </w:t>
      </w:r>
      <w:r>
        <w:rPr>
          <w:u w:val="single"/>
        </w:rPr>
        <w:t xml:space="preserve">of the same licensed profession</w:t>
      </w:r>
      <w:r>
        <w:rPr/>
        <w:t xml:space="preserve">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terminology consistent by changing "prior authorization" to "utilization management or review."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acf3b102994a32" /></Relationships>
</file>