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4ec3245314fc4"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FIN</w:t>
        </w:r>
      </w:r>
      <w:r>
        <w:rPr>
          <w:b/>
        </w:rPr>
        <w:t xml:space="preserve"> </w:t>
        <w:r>
          <w:rPr/>
          <w:t xml:space="preserve">H3193.1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NOT 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during the 2019-2021 biennium no transfers to the state general fund, education legacy trust account, or opportunities pathway account must be made from the state toxics control account, local toxics control account, environmental legacy stewardship account, model toxics control operating account, model toxics control capital account, or model toxics control stormwater account.</w:t>
      </w:r>
    </w:p>
    <w:p>
      <w:pPr>
        <w:spacing w:before="240" w:after="0" w:line="408" w:lineRule="exact"/>
        <w:ind w:left="0" w:right="0" w:firstLine="0"/>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21</w:t>
      </w:r>
      <w:r>
        <w:rPr/>
        <w:t xml:space="preserve">.</w:t>
      </w:r>
      <w:r>
        <w:t xml:space="preserve">010</w:t>
      </w:r>
      <w:r>
        <w:rPr/>
        <w:t xml:space="preserve"> and 1989 c 2 s 8 are each amended to read as follows:</w:t>
      </w:r>
    </w:p>
    <w:p>
      <w:pPr>
        <w:spacing w:before="0" w:after="0" w:line="408" w:lineRule="exact"/>
        <w:ind w:left="0" w:right="0" w:firstLine="576"/>
        <w:jc w:val="left"/>
      </w:pPr>
      <w:r>
        <w:rPr>
          <w:u w:val="single"/>
        </w:rPr>
        <w:t xml:space="preserve">(1)</w:t>
      </w:r>
      <w:r>
        <w:rPr/>
        <w:t xml:space="preserve"> It is the intent of this chapter to impose a tax only once for each hazardous substance possessed in this state and to tax the first possession of all hazardous substances, including substances and products that the department of ecology determines to present a threat to human health or the environment. However, it is not intended to impose a tax on the first possession of small amounts of any hazardous substance (other than petroleum and pesticide products) that is first possessed by a retailer for the purpose of sale to ultimate consumers. This chapter is not intended to exempt any person from tax liability under any other law.</w:t>
      </w:r>
    </w:p>
    <w:p>
      <w:pPr>
        <w:spacing w:before="0" w:after="0" w:line="408" w:lineRule="exact"/>
        <w:ind w:left="0" w:right="0" w:firstLine="576"/>
        <w:jc w:val="left"/>
      </w:pPr>
      <w:r>
        <w:rPr>
          <w:u w:val="single"/>
        </w:rPr>
        <w:t xml:space="preserve">(2) It is the specific purpose of the model toxics control reform act (this act) to update the model toxics control program and its primary funding mechanism. These reforms are intended to achieve the financial stability, transparency, and long-term protection of revenues. Specifically, this reform act makes the following changes:</w:t>
      </w:r>
    </w:p>
    <w:p>
      <w:pPr>
        <w:spacing w:before="0" w:after="0" w:line="408" w:lineRule="exact"/>
        <w:ind w:left="0" w:right="0" w:firstLine="576"/>
        <w:jc w:val="left"/>
      </w:pPr>
      <w:r>
        <w:rPr>
          <w:u w:val="single"/>
        </w:rPr>
        <w:t xml:space="preserve">(a) Increases funding for programs and projects related to clean air, clean water, toxic cleanup, and prevention, with specific focus on stormwater pollution;</w:t>
      </w:r>
    </w:p>
    <w:p>
      <w:pPr>
        <w:spacing w:before="0" w:after="0" w:line="408" w:lineRule="exact"/>
        <w:ind w:left="0" w:right="0" w:firstLine="576"/>
        <w:jc w:val="left"/>
      </w:pPr>
      <w:r>
        <w:rPr>
          <w:u w:val="single"/>
        </w:rPr>
        <w:t xml:space="preserve">(b) Provides distinct and transparent financial separation of capital and operating budget funding under the model toxics control program;</w:t>
      </w:r>
    </w:p>
    <w:p>
      <w:pPr>
        <w:spacing w:before="0" w:after="0" w:line="408" w:lineRule="exact"/>
        <w:ind w:left="0" w:right="0" w:firstLine="576"/>
        <w:jc w:val="left"/>
      </w:pPr>
      <w:r>
        <w:rPr>
          <w:u w:val="single"/>
        </w:rPr>
        <w:t xml:space="preserve">(c) Improves the transparency and visibility of operating and capital project expenditures under the model toxics control program; and</w:t>
      </w:r>
    </w:p>
    <w:p>
      <w:pPr>
        <w:spacing w:before="0" w:after="0" w:line="408" w:lineRule="exact"/>
        <w:ind w:left="0" w:right="0" w:firstLine="576"/>
        <w:jc w:val="left"/>
      </w:pPr>
      <w:r>
        <w:rPr>
          <w:u w:val="single"/>
        </w:rPr>
        <w:t xml:space="preserve">(d) Eliminates the year-to-year volatility of hazardous substance tax revenues by moving to a volumetric rate for petroleum products.</w:t>
      </w:r>
    </w:p>
    <w:p>
      <w:pPr>
        <w:spacing w:before="240" w:after="0" w:line="408" w:lineRule="exact"/>
        <w:ind w:left="0" w:right="0" w:firstLine="0"/>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w:t>
      </w:r>
      <w:r>
        <w:rPr>
          <w:u w:val="single"/>
        </w:rPr>
        <w:t xml:space="preserve">(a)</w:t>
      </w:r>
      <w:r>
        <w:rPr/>
        <w:t xml:space="preserve"> A tax is imposed on the privilege of possession of hazardous substances in this state. </w:t>
      </w:r>
      <w:r>
        <w:rPr>
          <w:u w:val="single"/>
        </w:rPr>
        <w:t xml:space="preserve">Except as provided in (b) of this subsection, t</w:t>
      </w:r>
      <w:r>
        <w:rPr/>
        <w:t xml:space="preserve">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 </w:t>
      </w:r>
      <w:r>
        <w:rPr>
          <w:u w:val="single"/>
        </w:rPr>
        <w:t xml:space="preserve">Moneys collected under this subsection (1)(a) must be deposited in the model toxics control capital account.</w:t>
      </w:r>
    </w:p>
    <w:p>
      <w:pPr>
        <w:spacing w:before="0" w:after="0" w:line="408" w:lineRule="exact"/>
        <w:ind w:left="0" w:right="0" w:firstLine="576"/>
        <w:jc w:val="left"/>
      </w:pPr>
      <w:r>
        <w:rPr>
          <w:u w:val="single"/>
        </w:rPr>
        <w:t xml:space="preserve">(b)</w:t>
      </w:r>
      <w:r>
        <w:rPr>
          <w:u w:val="single"/>
        </w:rPr>
        <w:t xml:space="preserve"> </w:t>
      </w:r>
      <w:r>
        <w:rPr>
          <w:u w:val="single"/>
        </w:rPr>
        <w:t xml:space="preserve">Beginning July 1, 2019, the rate of the tax on petroleum products is one dollar and nine cents per barrel. The tax collected under this subsection (1)(b) on petroleum products must be deposited as follows, after first depositing the tax as provided in (c) of this subsection (1):</w:t>
      </w:r>
    </w:p>
    <w:p>
      <w:pPr>
        <w:spacing w:before="0" w:after="0" w:line="408" w:lineRule="exact"/>
        <w:ind w:left="0" w:right="0" w:firstLine="576"/>
        <w:jc w:val="left"/>
      </w:pPr>
      <w:r>
        <w:rPr>
          <w:u w:val="single"/>
        </w:rPr>
        <w:t xml:space="preserve">(i) Sixty percent to the model toxics control operating account created under section 202 of this act;</w:t>
      </w:r>
    </w:p>
    <w:p>
      <w:pPr>
        <w:spacing w:before="0" w:after="0" w:line="408" w:lineRule="exact"/>
        <w:ind w:left="0" w:right="0" w:firstLine="576"/>
        <w:jc w:val="left"/>
      </w:pPr>
      <w:r>
        <w:rPr>
          <w:u w:val="single"/>
        </w:rPr>
        <w:t xml:space="preserve">(ii) Twenty-five percent to the model toxics control capital account created under section 203 of this act; and</w:t>
      </w:r>
    </w:p>
    <w:p>
      <w:pPr>
        <w:spacing w:before="0" w:after="0" w:line="408" w:lineRule="exact"/>
        <w:ind w:left="0" w:right="0" w:firstLine="576"/>
        <w:jc w:val="left"/>
      </w:pPr>
      <w:r>
        <w:rPr>
          <w:u w:val="single"/>
        </w:rPr>
        <w:t xml:space="preserve">(iii) Fifteen percent to the model toxics control stormwater account created under section 204 of this act.</w:t>
      </w:r>
    </w:p>
    <w:p>
      <w:pPr>
        <w:spacing w:before="0" w:after="0" w:line="408" w:lineRule="exact"/>
        <w:ind w:left="0" w:right="0" w:firstLine="576"/>
        <w:jc w:val="left"/>
      </w:pPr>
      <w:r>
        <w:rPr>
          <w:u w:val="single"/>
        </w:rPr>
        <w:t xml:space="preserve">(c) </w:t>
      </w:r>
      <w:r>
        <w:rPr>
          <w:u w:val="single"/>
        </w:rPr>
        <w:t xml:space="preserve">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u w:val="single"/>
        </w:rPr>
        <w:t xml:space="preserve">(d)</w:t>
      </w:r>
      <w:r>
        <w:rPr>
          <w:u w:val="single"/>
        </w:rPr>
        <w:t xml:space="preserve">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 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w:t>
      </w:r>
      <w:r>
        <w:t>((</w:t>
      </w:r>
      <w:r>
        <w:rPr>
          <w:strike/>
        </w:rPr>
        <w:t xml:space="preserve">Moneys collected under this chapter shall be deposited in the toxics control accounts under RCW 70.105D.070.</w:t>
      </w:r>
    </w:p>
    <w:p>
      <w:pPr>
        <w:spacing w:before="0" w:after="0" w:line="408" w:lineRule="exact"/>
        <w:ind w:left="0" w:right="0" w:firstLine="576"/>
        <w:jc w:val="left"/>
      </w:pPr>
      <w:r>
        <w:rPr>
          <w:strike/>
        </w:rPr>
        <w:t xml:space="preserve">(3)</w:t>
      </w:r>
      <w:r>
        <w:t>))</w:t>
      </w:r>
      <w:r>
        <w:rPr/>
        <w:t xml:space="preserve"> Chapter 82.32 RCW applies to the tax imposed in this chapter. The tax due dates, reporting periods, and return requirements applicable to chapter 82.04 RCW apply equally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 </w:t>
      </w:r>
    </w:p>
    <w:p>
      <w:pPr>
        <w:spacing w:before="0" w:after="0" w:line="408" w:lineRule="exact"/>
        <w:ind w:left="0" w:right="0" w:firstLine="576"/>
        <w:jc w:val="left"/>
      </w:pPr>
      <w:r>
        <w:rPr/>
        <w:t xml:space="preserve">(a) The costs of remedial actions recovered under this chapter, except as provided under RCW 70.105D.---(7) (section 2(7), chapter . . . (SHB 1290), Laws of 2019);</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70.105D.030(2)(e) if:</w:t>
      </w:r>
    </w:p>
    <w:p>
      <w:pPr>
        <w:spacing w:before="0" w:after="0" w:line="408" w:lineRule="exact"/>
        <w:ind w:left="0" w:right="0" w:firstLine="576"/>
        <w:jc w:val="left"/>
      </w:pPr>
      <w:r>
        <w:rPr/>
        <w:t xml:space="preserve">(A) The amount and terms of the funding are established under a settlement agreement under RCW 70.105D.040(4);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(A) The facility is located within a redevelopment opportunity zone designated under RCW 70.105D.150;</w:t>
      </w:r>
    </w:p>
    <w:p>
      <w:pPr>
        <w:spacing w:before="0" w:after="0" w:line="408" w:lineRule="exact"/>
        <w:ind w:left="0" w:right="0" w:firstLine="576"/>
        <w:jc w:val="left"/>
      </w:pPr>
      <w:r>
        <w:rPr/>
        <w:t xml:space="preserve">(B) The amount and terms of the funding are established under a settlement agreement under RCW 70.105D.040(5);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70.95, 70.95C, 70.95I, 70.95G, 70.95M, and 70.105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70.76 and 70.105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The department may not award a grant or loan for a remedial action unless the local government has obtained all of the required permits for the action within one year of the effective date of the enacted budget.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(i)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fifty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70.105D.040(5)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stormwater account is hereby created in the state treasury.</w:t>
      </w:r>
    </w:p>
    <w:p>
      <w:pPr>
        <w:spacing w:before="0" w:after="0" w:line="408" w:lineRule="exact"/>
        <w:ind w:left="0" w:right="0" w:firstLine="576"/>
        <w:jc w:val="left"/>
      </w:pPr>
      <w:r>
        <w:rPr/>
        <w:t xml:space="preserve">(2) Moneys in the model toxics control stormwater account must be used for operating and capital programs, activities, and projects identified in subsection (3) of this section directly relating to stormwater pollution control.</w:t>
      </w:r>
    </w:p>
    <w:p>
      <w:pPr>
        <w:spacing w:before="0" w:after="0" w:line="408" w:lineRule="exact"/>
        <w:ind w:left="0" w:right="0" w:firstLine="576"/>
        <w:jc w:val="left"/>
      </w:pPr>
      <w:r>
        <w:rPr/>
        <w:t xml:space="preserve">(3) Moneys in the model toxics control stormwater account must be used only to carry out the operating and capital programs, activities, and projects directly relating to stormwater activities under sections 202 and 203 of this act, including but not limited to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p>
    <w:p>
      <w:pPr>
        <w:spacing w:before="0" w:after="0" w:line="408" w:lineRule="exact"/>
        <w:ind w:left="0" w:right="0" w:firstLine="576"/>
        <w:jc w:val="left"/>
      </w:pPr>
      <w:r>
        <w:rPr/>
        <w:t xml:space="preserve">(4) Except for unanticipated receipts under RCW 43.79.260 through 43.79.282, moneys in the model toxics control stormwater account may be spent only after appropriation by statute.</w:t>
      </w:r>
    </w:p>
    <w:p>
      <w:pPr>
        <w:spacing w:before="240" w:after="0" w:line="408" w:lineRule="exact"/>
        <w:ind w:left="0" w:right="0" w:firstLine="0"/>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office of financial management and the legislative evaluation and accountability program committee must identify changes to existing budgeting and reporting systems, including enterprise, internal, and public-facing systems, that will improve access to and understanding of relevant model toxics control act account-related budget information available at the time governor-recommended and legislative budgets are released. In carrying out this work, the office of financial management and the legislative evaluation and accountability program committee must consult with legislative fiscal staff.</w:t>
      </w:r>
    </w:p>
    <w:p>
      <w:pPr>
        <w:spacing w:before="0" w:after="0" w:line="408" w:lineRule="exact"/>
        <w:ind w:left="0" w:right="0" w:firstLine="576"/>
        <w:jc w:val="left"/>
      </w:pPr>
      <w:r>
        <w:rPr/>
        <w:t xml:space="preserve">(2) The office of financial management and the legislative evaluation and accountability program committee must identify proposed improvements and, as appropriate, necessary funding and legislative changes to the governor and legislature by September 1, 2020. To the extent possible, the office of financial management and the legislative evaluation and accountability program committee may implement low and no-cost changes during the 2019-2021 biennium.</w:t>
      </w:r>
    </w:p>
    <w:p>
      <w:pPr>
        <w:spacing w:before="0" w:after="0" w:line="408" w:lineRule="exact"/>
        <w:ind w:left="0" w:right="0" w:firstLine="576"/>
        <w:jc w:val="left"/>
      </w:pPr>
      <w:r>
        <w:rPr/>
        <w:t xml:space="preserve">(3) This section expires June 30, 2021.</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w:t>
      </w:r>
      <w:r>
        <w:t>((</w:t>
      </w:r>
      <w:r>
        <w:rPr>
          <w:strike/>
        </w:rPr>
        <w:t xml:space="preserve">shall</w:t>
      </w:r>
      <w:r>
        <w:t>))</w:t>
      </w:r>
      <w:r>
        <w:rPr/>
        <w:t xml:space="preserve"> </w:t>
      </w:r>
      <w:r>
        <w:rPr>
          <w:u w:val="single"/>
        </w:rPr>
        <w:t xml:space="preserve">must</w:t>
      </w:r>
      <w:r>
        <w:rPr/>
        <w:t xml:space="preserve"> give reasonable notice before entering property unless an emergency prevents such notice. In conducting, providing for, or requiring remedial action, the department </w:t>
      </w:r>
      <w:r>
        <w:t>((</w:t>
      </w:r>
      <w:r>
        <w:rPr>
          <w:strike/>
        </w:rPr>
        <w:t xml:space="preserve">shall</w:t>
      </w:r>
      <w:r>
        <w:t>))</w:t>
      </w:r>
      <w:r>
        <w:rPr/>
        <w:t xml:space="preserve"> </w:t>
      </w:r>
      <w:r>
        <w:rPr>
          <w:u w:val="single"/>
        </w:rPr>
        <w:t xml:space="preserve">must</w:t>
      </w:r>
      <w:r>
        <w:rPr/>
        <w:t xml:space="preserve"> give preference to permanent solutions to the maximum extent practicable and </w:t>
      </w:r>
      <w:r>
        <w:t>((</w:t>
      </w:r>
      <w:r>
        <w:rPr>
          <w:strike/>
        </w:rPr>
        <w:t xml:space="preserve">shall</w:t>
      </w:r>
      <w:r>
        <w:t>))</w:t>
      </w:r>
      <w:r>
        <w:rPr/>
        <w:t xml:space="preserve"> </w:t>
      </w:r>
      <w:r>
        <w:rPr>
          <w:u w:val="single"/>
        </w:rPr>
        <w:t xml:space="preserve">must</w:t>
      </w:r>
      <w:r>
        <w:rPr/>
        <w:t xml:space="preserve">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w:t>
      </w:r>
      <w:r>
        <w:t>((</w:t>
      </w:r>
      <w:r>
        <w:rPr>
          <w:strike/>
        </w:rPr>
        <w:t xml:space="preserve">shall</w:t>
      </w:r>
      <w:r>
        <w:t>))</w:t>
      </w:r>
      <w:r>
        <w:rPr/>
        <w:t xml:space="preserve"> </w:t>
      </w:r>
      <w:r>
        <w:rPr>
          <w:u w:val="single"/>
        </w:rPr>
        <w:t xml:space="preserve">must</w:t>
      </w:r>
      <w:r>
        <w:rPr/>
        <w:t xml:space="preserve">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 to persons who are conducting or otherwise interested in independent remedial actions. Any such advice or assistance </w:t>
      </w:r>
      <w:r>
        <w:t>((</w:t>
      </w:r>
      <w:r>
        <w:rPr>
          <w:strike/>
        </w:rPr>
        <w:t xml:space="preserve">shall be</w:t>
      </w:r>
      <w:r>
        <w:t>))</w:t>
      </w:r>
      <w:r>
        <w:rPr/>
        <w:t xml:space="preserve"> </w:t>
      </w:r>
      <w:r>
        <w:rPr>
          <w:u w:val="single"/>
        </w:rPr>
        <w:t xml:space="preserve">is</w:t>
      </w:r>
      <w:r>
        <w:rPr/>
        <w:t xml:space="preserve"> advisory only,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w:t>
      </w:r>
      <w:r>
        <w:t>((</w:t>
      </w:r>
      <w:r>
        <w:rPr>
          <w:strike/>
        </w:rPr>
        <w:t xml:space="preserve">shall</w:t>
      </w:r>
      <w:r>
        <w:t>))</w:t>
      </w:r>
      <w:r>
        <w:rPr/>
        <w:t xml:space="preserve"> </w:t>
      </w:r>
      <w:r>
        <w:rPr>
          <w:u w:val="single"/>
        </w:rPr>
        <w:t xml:space="preserve">must</w:t>
      </w:r>
      <w:r>
        <w:rPr/>
        <w:t xml:space="preserve">,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t xml:space="preserve">(j) In fulfilling the objectives of this chapter, the department </w:t>
      </w:r>
      <w:r>
        <w:t>((</w:t>
      </w:r>
      <w:r>
        <w:rPr>
          <w:strike/>
        </w:rPr>
        <w:t xml:space="preserve">shall</w:t>
      </w:r>
      <w:r>
        <w:t>))</w:t>
      </w:r>
      <w:r>
        <w:rPr/>
        <w:t xml:space="preserve"> </w:t>
      </w:r>
      <w:r>
        <w:rPr>
          <w:u w:val="single"/>
        </w:rPr>
        <w:t xml:space="preserve">must</w:t>
      </w:r>
      <w:r>
        <w:rPr/>
        <w:t xml:space="preserve">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w:t>
      </w:r>
      <w:r>
        <w:t>((</w:t>
      </w:r>
      <w:r>
        <w:rPr>
          <w:strike/>
        </w:rPr>
        <w:t xml:space="preserve">shall</w:t>
      </w:r>
      <w:r>
        <w:t>))</w:t>
      </w:r>
      <w:r>
        <w:rPr/>
        <w:t xml:space="preserve"> </w:t>
      </w:r>
      <w:r>
        <w:rPr>
          <w:u w:val="single"/>
        </w:rPr>
        <w:t xml:space="preserve">must</w:t>
      </w:r>
      <w:r>
        <w:rPr/>
        <w:t xml:space="preserve">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immediately implement all provisions of this chapter to the maximum extent practicable, including investigative and remedial actions where appropriate. The department </w:t>
      </w:r>
      <w:r>
        <w:t>((</w:t>
      </w:r>
      <w:r>
        <w:rPr>
          <w:strike/>
        </w:rPr>
        <w:t xml:space="preserve">shall</w:t>
      </w:r>
      <w:r>
        <w:t>))</w:t>
      </w:r>
      <w:r>
        <w:rPr/>
        <w:t xml:space="preserve"> </w:t>
      </w:r>
      <w:r>
        <w:rPr>
          <w:u w:val="single"/>
        </w:rPr>
        <w:t xml:space="preserve">must</w:t>
      </w:r>
      <w:r>
        <w:rPr/>
        <w:t xml:space="preserve">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w:t>
      </w:r>
      <w:r>
        <w:t>((</w:t>
      </w:r>
      <w:r>
        <w:rPr>
          <w:strike/>
        </w:rPr>
        <w:t xml:space="preserve">shall</w:t>
      </w:r>
      <w:r>
        <w:t>))</w:t>
      </w:r>
      <w:r>
        <w:rPr/>
        <w:t xml:space="preserve"> </w:t>
      </w:r>
      <w:r>
        <w:rPr>
          <w:u w:val="single"/>
        </w:rPr>
        <w:t xml:space="preserve">may</w:t>
      </w:r>
      <w:r>
        <w:rPr/>
        <w:t xml:space="preserve">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w:t>
      </w:r>
      <w:r>
        <w:t>((</w:t>
      </w:r>
      <w:r>
        <w:rPr>
          <w:strike/>
        </w:rPr>
        <w:t xml:space="preserve">shall</w:t>
      </w:r>
      <w:r>
        <w:t>))</w:t>
      </w:r>
      <w:r>
        <w:rPr/>
        <w:t xml:space="preserve"> </w:t>
      </w:r>
      <w:r>
        <w:rPr>
          <w:u w:val="single"/>
        </w:rPr>
        <w:t xml:space="preserve">must</w:t>
      </w:r>
      <w:r>
        <w:rPr/>
        <w:t xml:space="preserve">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w:t>
      </w:r>
      <w:r>
        <w:t>((</w:t>
      </w:r>
      <w:r>
        <w:rPr>
          <w:strike/>
        </w:rPr>
        <w:t xml:space="preserve">shall</w:t>
      </w:r>
      <w:r>
        <w:t>))</w:t>
      </w:r>
      <w:r>
        <w:rPr/>
        <w:t xml:space="preserve"> </w:t>
      </w:r>
      <w:r>
        <w:rPr>
          <w:u w:val="single"/>
        </w:rPr>
        <w:t xml:space="preserve">must</w:t>
      </w:r>
      <w:r>
        <w:rPr/>
        <w:t xml:space="preserve"> plan to clean up hazardous waste sites and prevent the creation of future hazards due to improper disposal of toxic wastes at a pace that matches the estimated cash resources in the </w:t>
      </w:r>
      <w:r>
        <w:t>((</w:t>
      </w:r>
      <w:r>
        <w:rPr>
          <w:strike/>
        </w:rPr>
        <w:t xml:space="preserve">state and local toxics control accounts and the environmental legacy stewardship account created in RCW 70.105D.170</w:t>
      </w:r>
      <w:r>
        <w:t>))</w:t>
      </w:r>
      <w:r>
        <w:rPr/>
        <w:t xml:space="preserve"> </w:t>
      </w:r>
      <w:r>
        <w:rPr>
          <w:u w:val="single"/>
        </w:rPr>
        <w:t xml:space="preserve">model toxics control capital account</w:t>
      </w:r>
      <w:r>
        <w:rPr/>
        <w:t xml:space="preserve">. Estimated cash resources must consider the annual cash flow requirements of major projects that receive appropriations expected to cross multiple biennia. </w:t>
      </w:r>
      <w:r>
        <w:t>((</w:t>
      </w:r>
      <w:r>
        <w:rPr>
          <w:strike/>
        </w:rPr>
        <w:t xml:space="preserve">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strike/>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Before September 20th of each even-numbered year,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w:t>
      </w:r>
      <w:r>
        <w:t>((</w:t>
      </w:r>
      <w:r>
        <w:rPr>
          <w:strike/>
        </w:rPr>
        <w:t xml:space="preserve">state and local toxics control account and the environmental legacy stewardship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w:t>
      </w:r>
      <w:r>
        <w:t>((</w:t>
      </w:r>
      <w:r>
        <w:rPr>
          <w:strike/>
        </w:rPr>
        <w:t xml:space="preserve">state toxics control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t>((</w:t>
      </w:r>
      <w:r>
        <w:rPr>
          <w:strike/>
        </w:rPr>
        <w:t xml:space="preserve">both the local and state toxics control account and the environmental legacy stewardship account</w:t>
      </w:r>
      <w:r>
        <w:t>))</w:t>
      </w:r>
      <w:r>
        <w:rPr/>
        <w:t xml:space="preserve"> </w:t>
      </w:r>
      <w:r>
        <w:rPr>
          <w:u w:val="single"/>
        </w:rPr>
        <w:t xml:space="preserve">model toxics control capital account</w:t>
      </w:r>
      <w:r>
        <w:rPr/>
        <w:t xml:space="preserve">, and submit this information to the appropriate standing fiscal and environmental committees of the senate and house of representatives. This submittal must also include a ranked list of such remedial action projects for </w:t>
      </w:r>
      <w:r>
        <w:t>((</w:t>
      </w:r>
      <w:r>
        <w:rPr>
          <w:strike/>
        </w:rPr>
        <w:t xml:space="preserve">both</w:t>
      </w:r>
      <w:r>
        <w:t>))</w:t>
      </w:r>
      <w:r>
        <w:rPr/>
        <w:t xml:space="preserve"> </w:t>
      </w:r>
      <w:r>
        <w:rPr>
          <w:u w:val="single"/>
        </w:rPr>
        <w:t xml:space="preserve">the model toxics control capital</w:t>
      </w:r>
      <w:r>
        <w:rPr/>
        <w:t xml:space="preserve"> account</w:t>
      </w:r>
      <w:r>
        <w:t>((</w:t>
      </w:r>
      <w:r>
        <w:rPr>
          <w:strike/>
        </w:rPr>
        <w:t xml:space="preserve">s</w:t>
      </w:r>
      <w:r>
        <w:t>))</w:t>
      </w:r>
      <w:r>
        <w:rPr/>
        <w:t xml:space="preserve">. The submittal must also identify separate budget estimates for large, multibiennia clean-up projects that exceed ten million dollars. The department </w:t>
      </w:r>
      <w:r>
        <w:t>((</w:t>
      </w:r>
      <w:r>
        <w:rPr>
          <w:strike/>
        </w:rPr>
        <w:t xml:space="preserve">shall</w:t>
      </w:r>
      <w:r>
        <w:t>))</w:t>
      </w:r>
      <w:r>
        <w:rPr/>
        <w:t xml:space="preserve"> </w:t>
      </w:r>
      <w:r>
        <w:rPr>
          <w:u w:val="single"/>
        </w:rPr>
        <w:t xml:space="preserve">must</w:t>
      </w:r>
      <w:r>
        <w:rPr/>
        <w:t xml:space="preserve">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w:t>
      </w:r>
      <w:r>
        <w:t>((</w:t>
      </w:r>
      <w:r>
        <w:rPr>
          <w:strike/>
        </w:rPr>
        <w:t xml:space="preserve">state and local toxics control accounts and the environmental legacy stewardship</w:t>
      </w:r>
      <w:r>
        <w:t>))</w:t>
      </w:r>
      <w:r>
        <w:rPr/>
        <w:t xml:space="preserve"> </w:t>
      </w:r>
      <w:r>
        <w:rPr>
          <w:u w:val="single"/>
        </w:rPr>
        <w:t xml:space="preserve">model toxics control operating, capital, and stormwater</w:t>
      </w:r>
      <w:r>
        <w:rPr/>
        <w:t xml:space="preserve"> account</w:t>
      </w:r>
      <w:r>
        <w:rPr>
          <w:u w:val="single"/>
        </w:rPr>
        <w:t xml:space="preserve">s</w:t>
      </w:r>
      <w:r>
        <w:rPr/>
        <w:t xml:space="preserve">.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w:t>
      </w:r>
      <w:r>
        <w:t>((</w:t>
      </w:r>
      <w:r>
        <w:rPr>
          <w:strike/>
        </w:rPr>
        <w:t xml:space="preserve">state and local toxics control accounts and the environmental legacy stewardship account</w:t>
      </w:r>
      <w:r>
        <w:t>))</w:t>
      </w:r>
      <w:r>
        <w:rPr/>
        <w:t xml:space="preserve"> </w:t>
      </w:r>
      <w:r>
        <w:rPr>
          <w:u w:val="single"/>
        </w:rPr>
        <w:t xml:space="preserve">model toxics control capital account</w:t>
      </w:r>
      <w:r>
        <w:rPr/>
        <w:t xml:space="preserve">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w:t>
      </w:r>
      <w:r>
        <w:t>((</w:t>
      </w:r>
      <w:r>
        <w:rPr>
          <w:strike/>
        </w:rPr>
        <w:t xml:space="preserve">shall</w:t>
      </w:r>
      <w:r>
        <w:t>))</w:t>
      </w:r>
      <w:r>
        <w:rPr/>
        <w:t xml:space="preserve"> </w:t>
      </w:r>
      <w:r>
        <w:rPr>
          <w:u w:val="single"/>
        </w:rPr>
        <w:t xml:space="preserve">must</w:t>
      </w:r>
      <w:r>
        <w:rPr/>
        <w:t xml:space="preserve">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w:t>
      </w:r>
      <w:r>
        <w:t>((</w:t>
      </w:r>
      <w:r>
        <w:rPr>
          <w:strike/>
        </w:rPr>
        <w:t xml:space="preserve">shall</w:t>
      </w:r>
      <w:r>
        <w:t>))</w:t>
      </w:r>
      <w:r>
        <w:rPr/>
        <w:t xml:space="preserve"> </w:t>
      </w:r>
      <w:r>
        <w:rPr>
          <w:u w:val="single"/>
        </w:rPr>
        <w:t xml:space="preserve">must</w:t>
      </w:r>
      <w:r>
        <w:rPr/>
        <w:t xml:space="preserve">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w:t>
      </w:r>
      <w:r>
        <w:t>((</w:t>
      </w:r>
      <w:r>
        <w:rPr>
          <w:strike/>
        </w:rPr>
        <w:t xml:space="preserve">shall</w:t>
      </w:r>
      <w:r>
        <w:t>))</w:t>
      </w:r>
      <w:r>
        <w:rPr/>
        <w:t xml:space="preserve"> </w:t>
      </w:r>
      <w:r>
        <w:rPr>
          <w:u w:val="single"/>
        </w:rPr>
        <w:t xml:space="preserve">must</w:t>
      </w:r>
      <w:r>
        <w:rPr/>
        <w:t xml:space="preserve"> conduct a review at least once every five years after an environmental covenant is recorded.</w:t>
      </w:r>
    </w:p>
    <w:p>
      <w:pPr>
        <w:spacing w:before="0" w:after="0" w:line="408" w:lineRule="exact"/>
        <w:ind w:left="0" w:right="0" w:firstLine="576"/>
        <w:jc w:val="left"/>
      </w:pPr>
      <w:r>
        <w:rPr/>
        <w:t xml:space="preserve">(a) The review </w:t>
      </w:r>
      <w:r>
        <w:t>((</w:t>
      </w:r>
      <w:r>
        <w:rPr>
          <w:strike/>
        </w:rPr>
        <w:t xml:space="preserve">shall</w:t>
      </w:r>
      <w:r>
        <w:t>))</w:t>
      </w:r>
      <w:r>
        <w:rPr/>
        <w:t xml:space="preserve"> </w:t>
      </w:r>
      <w:r>
        <w:rPr>
          <w:u w:val="single"/>
        </w:rPr>
        <w:t xml:space="preserve">must</w:t>
      </w:r>
      <w:r>
        <w:rPr/>
        <w:t xml:space="preserve">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w:t>
      </w:r>
      <w:r>
        <w:t>((</w:t>
      </w:r>
      <w:r>
        <w:rPr>
          <w:strike/>
        </w:rPr>
        <w:t xml:space="preserve">shall</w:t>
      </w:r>
      <w:r>
        <w:t>))</w:t>
      </w:r>
      <w:r>
        <w:rPr/>
        <w:t xml:space="preserve"> </w:t>
      </w:r>
      <w:r>
        <w:rPr>
          <w:u w:val="single"/>
        </w:rPr>
        <w:t xml:space="preserve">must</w:t>
      </w:r>
      <w:r>
        <w:rPr/>
        <w:t xml:space="preserve">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w:t>
      </w:r>
      <w:r>
        <w:t>((</w:t>
      </w:r>
      <w:r>
        <w:rPr>
          <w:strike/>
        </w:rPr>
        <w:t xml:space="preserve">shall</w:t>
      </w:r>
      <w:r>
        <w:t>))</w:t>
      </w:r>
      <w:r>
        <w:rPr/>
        <w:t xml:space="preserve"> </w:t>
      </w:r>
      <w:r>
        <w:rPr>
          <w:u w:val="single"/>
        </w:rPr>
        <w:t xml:space="preserve">must</w:t>
      </w:r>
      <w:r>
        <w:rPr/>
        <w:t xml:space="preserve">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2013 2nd sp.s. c 1 s 8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w:t>
      </w:r>
      <w:r>
        <w:t>((</w:t>
      </w:r>
      <w:r>
        <w:rPr>
          <w:strike/>
        </w:rPr>
        <w:t xml:space="preserve">shall</w:t>
      </w:r>
      <w:r>
        <w:t>))</w:t>
      </w:r>
      <w:r>
        <w:rPr/>
        <w:t xml:space="preserve"> </w:t>
      </w:r>
      <w:r>
        <w:rPr>
          <w:u w:val="single"/>
        </w:rPr>
        <w:t xml:space="preserve">must</w:t>
      </w:r>
      <w:r>
        <w:rPr/>
        <w:t xml:space="preserve"> issue orders or agreed orders requiring potentially liable persons to provide the remedial action. Any liable person, or prospective purchaser who has entered into an agreed order under RCW 70.105D.040(6),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and that the costs incurred were reasonable.</w:t>
      </w:r>
    </w:p>
    <w:p>
      <w:pPr>
        <w:spacing w:before="0" w:after="0" w:line="408" w:lineRule="exact"/>
        <w:ind w:left="0" w:right="0" w:firstLine="576"/>
        <w:jc w:val="left"/>
      </w:pPr>
      <w:r>
        <w:rPr/>
        <w:t xml:space="preserve">(3) The attorney general </w:t>
      </w:r>
      <w:r>
        <w:t>((</w:t>
      </w:r>
      <w:r>
        <w:rPr>
          <w:strike/>
        </w:rPr>
        <w:t xml:space="preserve">shall</w:t>
      </w:r>
      <w:r>
        <w:t>))</w:t>
      </w:r>
      <w:r>
        <w:rPr/>
        <w:t xml:space="preserve"> </w:t>
      </w:r>
      <w:r>
        <w:rPr>
          <w:u w:val="single"/>
        </w:rPr>
        <w:t xml:space="preserve">must</w:t>
      </w:r>
      <w:r>
        <w:rPr/>
        <w:t xml:space="preserve">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t xml:space="preserve">(b) Civil actions under this section and RCW 70.105D.060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if they can prove by a preponderance of the evidence that the person is not a liable party under RCW 70.105D.040. The person is entitled to a reduction of the amount of the lien if they can prove by a preponderance of the evidence:</w:t>
      </w:r>
    </w:p>
    <w:p>
      <w:pPr>
        <w:spacing w:before="0" w:after="0" w:line="408" w:lineRule="exact"/>
        <w:ind w:left="0" w:right="0" w:firstLine="576"/>
        <w:jc w:val="left"/>
      </w:pPr>
      <w:r>
        <w:rPr/>
        <w:t xml:space="preserve">(a) For liens filed under RCW 70.105D.055(2)(a),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w:t>
      </w:r>
      <w:r>
        <w:t>((</w:t>
      </w:r>
      <w:r>
        <w:rPr>
          <w:strike/>
        </w:rPr>
        <w:t xml:space="preserve">state and local toxics control</w:t>
      </w:r>
      <w:r>
        <w:t>))</w:t>
      </w:r>
      <w:r>
        <w:rPr/>
        <w:t xml:space="preserve"> </w:t>
      </w:r>
      <w:r>
        <w:rPr>
          <w:u w:val="single"/>
        </w:rPr>
        <w:t xml:space="preserve">model toxics control operating, capital, and stormwater</w:t>
      </w:r>
      <w:r>
        <w:rPr/>
        <w:t xml:space="preserve"> accounts created in </w:t>
      </w:r>
      <w:r>
        <w:t>((</w:t>
      </w:r>
      <w:r>
        <w:rPr>
          <w:strike/>
        </w:rPr>
        <w:t xml:space="preserve">RCW 70.105D.170 [70.105D.070] and the environmental legacy stewardship account created in RCW 70.105D.170</w:t>
      </w:r>
      <w:r>
        <w:t>))</w:t>
      </w:r>
      <w:r>
        <w:rPr/>
        <w:t xml:space="preserve"> </w:t>
      </w:r>
      <w:r>
        <w:rPr>
          <w:u w:val="single"/>
        </w:rPr>
        <w:t xml:space="preserve">sections 202 through 204 of this act</w:t>
      </w:r>
      <w:r>
        <w:rPr/>
        <w:t xml:space="preserve">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2018 c 286 s 7 are each amended to read as follows:</w:t>
      </w:r>
    </w:p>
    <w:p>
      <w:pPr>
        <w:spacing w:before="0" w:after="0" w:line="408" w:lineRule="exact"/>
        <w:ind w:left="0" w:right="0" w:firstLine="576"/>
        <w:jc w:val="left"/>
      </w:pPr>
      <w:r>
        <w:rPr/>
        <w:t xml:space="preserve">A manufacturer of class B firefighting foam in violation of RCW 70.75A.020 or 70.75A.040 or a person in violation of RCW 70.75A.010 or 70.75A.030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w:t>
      </w:r>
      <w:r>
        <w:rPr>
          <w:strike/>
        </w:rPr>
        <w:t xml:space="preserve">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100</w:t>
      </w:r>
      <w:r>
        <w:rPr/>
        <w:t xml:space="preserve"> and 2007 c 65 s 11 are each amended to read as follows:</w:t>
      </w:r>
    </w:p>
    <w:p>
      <w:pPr>
        <w:spacing w:before="0" w:after="0" w:line="408" w:lineRule="exact"/>
        <w:ind w:left="0" w:right="0" w:firstLine="576"/>
        <w:jc w:val="left"/>
      </w:pPr>
      <w:r>
        <w:rPr/>
        <w:t xml:space="preserve">(1) Enforcement of this chapter must rely on notification and information exchange between the department and manufacturers. The department </w:t>
      </w:r>
      <w:r>
        <w:t>((</w:t>
      </w:r>
      <w:r>
        <w:rPr>
          <w:strike/>
        </w:rPr>
        <w:t xml:space="preserve">shall</w:t>
      </w:r>
      <w:r>
        <w:t>))</w:t>
      </w:r>
      <w:r>
        <w:rPr/>
        <w:t xml:space="preserve"> </w:t>
      </w:r>
      <w:r>
        <w:rPr>
          <w:u w:val="single"/>
        </w:rPr>
        <w:t xml:space="preserve">must</w:t>
      </w:r>
      <w:r>
        <w:rPr/>
        <w:t xml:space="preserve"> achieve compliance with this chapter using the following enforcement sequence:</w:t>
      </w:r>
    </w:p>
    <w:p>
      <w:pPr>
        <w:spacing w:before="0" w:after="0" w:line="408" w:lineRule="exact"/>
        <w:ind w:left="0" w:right="0" w:firstLine="576"/>
        <w:jc w:val="left"/>
      </w:pPr>
      <w:r>
        <w:rPr/>
        <w:t xml:space="preserve">(a) Before the effective date of the product prohibition in RCW 70.76.020 or 70.76.030, the department </w:t>
      </w:r>
      <w:r>
        <w:t>((</w:t>
      </w:r>
      <w:r>
        <w:rPr>
          <w:strike/>
        </w:rPr>
        <w:t xml:space="preserve">shall</w:t>
      </w:r>
      <w:r>
        <w:t>))</w:t>
      </w:r>
      <w:r>
        <w:rPr/>
        <w:t xml:space="preserve"> </w:t>
      </w:r>
      <w:r>
        <w:rPr>
          <w:u w:val="single"/>
        </w:rPr>
        <w:t xml:space="preserve">must</w:t>
      </w:r>
      <w:r>
        <w:rPr/>
        <w:t xml:space="preserve"> prepare and distribute information to in</w:t>
      </w:r>
      <w:r>
        <w:rPr/>
        <w:noBreakHyphen/>
      </w:r>
      <w:r>
        <w:rPr/>
        <w:t xml:space="preserve">state manufacturers and out</w:t>
      </w:r>
      <w:r>
        <w:rPr/>
        <w:noBreakHyphen/>
      </w:r>
      <w:r>
        <w:rPr/>
        <w:t xml:space="preserve">of</w:t>
      </w:r>
      <w:r>
        <w:rPr/>
        <w:noBreakHyphen/>
      </w:r>
      <w:r>
        <w:rPr/>
        <w:t xml:space="preserve">state manufacturers, to the maximum extent practicable, to assist them in identifying products prohibited for manufacture, sale, or distribution under this chapter.</w:t>
      </w:r>
    </w:p>
    <w:p>
      <w:pPr>
        <w:spacing w:before="0" w:after="0" w:line="408" w:lineRule="exact"/>
        <w:ind w:left="0" w:right="0" w:firstLine="576"/>
        <w:jc w:val="left"/>
      </w:pPr>
      <w:r>
        <w:rPr/>
        <w:t xml:space="preserve">(b) The department may request a certificate of compliance from a manufacturer. A certificate of compliance attests that a manufacturer's product or products meets the requirements of this chapter.</w:t>
      </w:r>
    </w:p>
    <w:p>
      <w:pPr>
        <w:spacing w:before="0" w:after="0" w:line="408" w:lineRule="exact"/>
        <w:ind w:left="0" w:right="0" w:firstLine="576"/>
        <w:jc w:val="left"/>
      </w:pPr>
      <w:r>
        <w:rPr/>
        <w:t xml:space="preserve">(c) The department may issue a warning letter to a manufacturer that produces, sells, or distributes prohibited products in violation of this chapter. The department </w:t>
      </w:r>
      <w:r>
        <w:t>((</w:t>
      </w:r>
      <w:r>
        <w:rPr>
          <w:strike/>
        </w:rPr>
        <w:t xml:space="preserve">shall</w:t>
      </w:r>
      <w:r>
        <w:t>))</w:t>
      </w:r>
      <w:r>
        <w:rPr/>
        <w:t xml:space="preserve"> </w:t>
      </w:r>
      <w:r>
        <w:rPr>
          <w:u w:val="single"/>
        </w:rPr>
        <w:t xml:space="preserve">must</w:t>
      </w:r>
      <w:r>
        <w:rPr/>
        <w:t xml:space="preserve"> offer information or other appropriate assistance to the manufacturer in complying with this chapter. If, after one year, compliance is not achieved, penalties may be assessed under subsection (3) of this section.</w:t>
      </w:r>
    </w:p>
    <w:p>
      <w:pPr>
        <w:spacing w:before="0" w:after="0" w:line="408" w:lineRule="exact"/>
        <w:ind w:left="0" w:right="0" w:firstLine="576"/>
        <w:jc w:val="left"/>
      </w:pPr>
      <w:r>
        <w:rPr/>
        <w:t xml:space="preserve">(2) A manufacturer that knowingly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 and any applicable shipping and handling for returning the products.</w:t>
      </w:r>
    </w:p>
    <w:p>
      <w:pPr>
        <w:spacing w:before="0" w:after="0" w:line="408" w:lineRule="exact"/>
        <w:ind w:left="0" w:right="0" w:firstLine="576"/>
        <w:jc w:val="left"/>
      </w:pPr>
      <w:r>
        <w:rPr/>
        <w:t xml:space="preserve">(3) A manufacturer of products containing PBDEs in violation of this chapter is subject to a civil penalty not to exceed one thousand dollars for each violation in the case of a first offense. Manufacturers who are repeat violators are subject to a civil penalty not to exceed five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2003 c 260 s 9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120</w:t>
      </w:r>
      <w:r>
        <w:rPr/>
        <w:t xml:space="preserve"> and 2003 c 260 s 11 are each amended to read as follows:</w:t>
      </w:r>
    </w:p>
    <w:p>
      <w:pPr>
        <w:spacing w:before="0" w:after="0" w:line="408" w:lineRule="exact"/>
        <w:ind w:left="0" w:right="0" w:firstLine="576"/>
        <w:jc w:val="left"/>
      </w:pPr>
      <w:r>
        <w:rPr/>
        <w:t xml:space="preserve">Any fiscal impact on the department or the department of health that results from the implementation of this chapter must be paid for out of funds that are appropriated by the legislature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for the implementation of the department's persistent bioaccumulative toxic chemical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2016 c 176 s 4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050</w:t>
      </w:r>
      <w:r>
        <w:rPr/>
        <w:t xml:space="preserve"> and 2009 c 243 s 5 are each amended to read as follows:</w:t>
      </w:r>
    </w:p>
    <w:p>
      <w:pPr>
        <w:spacing w:before="0" w:after="0" w:line="408" w:lineRule="exact"/>
        <w:ind w:left="0" w:right="0" w:firstLine="576"/>
        <w:jc w:val="left"/>
      </w:pPr>
      <w:r>
        <w:rPr/>
        <w:t xml:space="preserve">(1) An initial violation of RCW 70.270.030(1) is punishable by a civil penalty not to exceed five hundred dollars. Subsequent violations of RCW 70.270.030(1) are punishable by civil penalties not to exceed one thousand dollars for each violation.</w:t>
      </w:r>
    </w:p>
    <w:p>
      <w:pPr>
        <w:spacing w:before="0" w:after="0" w:line="408" w:lineRule="exact"/>
        <w:ind w:left="0" w:right="0" w:firstLine="576"/>
        <w:jc w:val="left"/>
      </w:pPr>
      <w:r>
        <w:rPr/>
        <w:t xml:space="preserve">(2)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090</w:t>
      </w:r>
      <w:r>
        <w:rPr/>
        <w:t xml:space="preserve"> and 2010 c 147 s 9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this chapter. The department may periodically purchase and test brake friction material sold or offered for sale in Washington state to verify that the material complies with this chapter.</w:t>
      </w:r>
    </w:p>
    <w:p>
      <w:pPr>
        <w:spacing w:before="0" w:after="0" w:line="408" w:lineRule="exact"/>
        <w:ind w:left="0" w:right="0" w:firstLine="576"/>
        <w:jc w:val="left"/>
      </w:pPr>
      <w:r>
        <w:rPr/>
        <w:t xml:space="preserve">(2) Enforcement of this chapter by the department must rely on notification and information exchange between the department and manufacturers, distributors, and retailers. The department </w:t>
      </w:r>
      <w:r>
        <w:t>((</w:t>
      </w:r>
      <w:r>
        <w:rPr>
          <w:strike/>
        </w:rPr>
        <w:t xml:space="preserve">shall</w:t>
      </w:r>
      <w:r>
        <w:t>))</w:t>
      </w:r>
      <w:r>
        <w:rPr/>
        <w:t xml:space="preserve"> </w:t>
      </w:r>
      <w:r>
        <w:rPr>
          <w:u w:val="single"/>
        </w:rPr>
        <w:t xml:space="preserve">must</w:t>
      </w:r>
      <w:r>
        <w:rPr/>
        <w:t xml:space="preserve"> issue one warning letter by certified mail to a manufacturer, distributor, or retailer that sells or offers to sell brake friction material in violation of this chapter, and offer information or other appropriate assistance regarding compliance with this chapter. Once a warning letter has been issued to a distributor or retailer for violations under subsections (3) and (5) of this section, the department need not provide warning letters for subsequent violations by that distributor or retailer. For the purposes of subsection (6) of this section, a warning letter serves as notice of the violation. If compliance is not achieved, the department may assess penalties under this section.</w:t>
      </w:r>
    </w:p>
    <w:p>
      <w:pPr>
        <w:spacing w:before="0" w:after="0" w:line="408" w:lineRule="exact"/>
        <w:ind w:left="0" w:right="0" w:firstLine="576"/>
        <w:jc w:val="left"/>
      </w:pPr>
      <w:r>
        <w:rPr/>
        <w:t xml:space="preserve">(3) A brake friction material distributor or retailer that violates this chapter is subject to a civil penalty not to exceed ten thousand dollars for each violation. Brake friction material distributors or retailers that sell brake friction material that is packaged consistent with RCW 70.285.080(2)(b) are not in violation of this chapter. However, if the department conclusively proves that the brake friction material distributor or retailer was aware that the brake friction material being sold violates RCW 70.285.030 or 70.285.050, the brake friction material distributor or retailer is subject to civil penalties according to this section.</w:t>
      </w:r>
    </w:p>
    <w:p>
      <w:pPr>
        <w:spacing w:before="0" w:after="0" w:line="408" w:lineRule="exact"/>
        <w:ind w:left="0" w:right="0" w:firstLine="576"/>
        <w:jc w:val="left"/>
      </w:pPr>
      <w:r>
        <w:rPr/>
        <w:t xml:space="preserve">(4) A brake friction material manufacturer that knowingly violates this chapter </w:t>
      </w:r>
      <w:r>
        <w:t>((</w:t>
      </w:r>
      <w:r>
        <w:rPr>
          <w:strike/>
        </w:rPr>
        <w:t xml:space="preserve">shall</w:t>
      </w:r>
      <w:r>
        <w:t>))</w:t>
      </w:r>
      <w:r>
        <w:rPr/>
        <w:t xml:space="preserve"> </w:t>
      </w:r>
      <w:r>
        <w:rPr>
          <w:u w:val="single"/>
        </w:rPr>
        <w:t xml:space="preserve">must</w:t>
      </w:r>
      <w:r>
        <w:rPr/>
        <w:t xml:space="preserve"> recall the brake friction material and reimburse the brake friction distributor, retailer, or any other purchaser for the material and any applicable shipping and handling charges for returning the material. A brake friction material manufacturer that violates this chapter is subject to a civil penalty not to exceed ten thousand dollars for each violation.</w:t>
      </w:r>
    </w:p>
    <w:p>
      <w:pPr>
        <w:spacing w:before="0" w:after="0" w:line="408" w:lineRule="exact"/>
        <w:ind w:left="0" w:right="0" w:firstLine="576"/>
        <w:jc w:val="left"/>
      </w:pPr>
      <w:r>
        <w:rPr/>
        <w:t xml:space="preserve">(5) A motor vehicle distributor or retailer that violates this chapter is subject to a civil penalty not to exceed ten thousand dollars for each violation. A motor vehicle distributor or retailer is not in violation of this chapter for selling a vehicle that was previously sold at retail and that contains brake friction material failing to meet the requirements of this chapter. However, if the department conclusively proves that the motor vehicle distributor or retailer installed brake friction material that violates RCW 70.285.030, 70.285.050, or 70.285.080(2)(b) on the vehicle being sold and was aware that the brake friction material violates RCW 70.285.030, 70.285.050, or 70.285.080(2)(b), the motor vehicle distributor or retailer is subject to civil penalties under this section.</w:t>
      </w:r>
    </w:p>
    <w:p>
      <w:pPr>
        <w:spacing w:before="0" w:after="0" w:line="408" w:lineRule="exact"/>
        <w:ind w:left="0" w:right="0" w:firstLine="576"/>
        <w:jc w:val="left"/>
      </w:pPr>
      <w:r>
        <w:rPr/>
        <w:t xml:space="preserve">(6) A motor vehicle manufacturer that violates this chapter must notify the registered owner of the vehicle within six months of knowledge of the violation and must replace at no cost to the owner the noncompliant brake friction material with brake friction material that complies with this chapter. A motor vehicle manufacturer that fails to provide the required notification to registered owners of the affected vehicles within six months of knowledge of the violation is subject to a civil penalty not to exceed one hundred thousand dollars. A motor vehicle manufacturer that fails to provide the required notification to registered owners of the affected vehicles after twelve months of knowledge of the violation is subject to a civil penalty not to exceed ten thousand dollars per vehicle. For purposes of this section, "motor vehicle manufacturer" does not include a vehicle dealer defined under RCW 46.70.011 and required to be licensed as a vehicle dealer under chapter 46.70 RCW.</w:t>
      </w:r>
    </w:p>
    <w:p>
      <w:pPr>
        <w:spacing w:before="0" w:after="0" w:line="408" w:lineRule="exact"/>
        <w:ind w:left="0" w:right="0" w:firstLine="576"/>
        <w:jc w:val="left"/>
      </w:pPr>
      <w:r>
        <w:rPr/>
        <w:t xml:space="preserve">(7) Before the effective date of the prohibitions in RCW 70.285.030 or 70.285.050, the department </w:t>
      </w:r>
      <w:r>
        <w:t>((</w:t>
      </w:r>
      <w:r>
        <w:rPr>
          <w:strike/>
        </w:rPr>
        <w:t xml:space="preserve">shall</w:t>
      </w:r>
      <w:r>
        <w:t>))</w:t>
      </w:r>
      <w:r>
        <w:rPr/>
        <w:t xml:space="preserve"> </w:t>
      </w:r>
      <w:r>
        <w:rPr>
          <w:u w:val="single"/>
        </w:rPr>
        <w:t xml:space="preserve">must</w:t>
      </w:r>
      <w:r>
        <w:rPr/>
        <w:t xml:space="preserve"> prepare and distribute information about the prohibitions to manufacturers, distributors, and retailers to the maximum extent practicable.</w:t>
      </w:r>
    </w:p>
    <w:p>
      <w:pPr>
        <w:spacing w:before="0" w:after="0" w:line="408" w:lineRule="exact"/>
        <w:ind w:left="0" w:right="0" w:firstLine="576"/>
        <w:jc w:val="left"/>
      </w:pPr>
      <w:r>
        <w:rPr/>
        <w:t xml:space="preserve">(8) All penalties collected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050</w:t>
      </w:r>
      <w:r>
        <w:rPr/>
        <w:t xml:space="preserve"> and 2010 c 140 s 5 are each amended to read as follows:</w:t>
      </w:r>
    </w:p>
    <w:p>
      <w:pPr>
        <w:spacing w:before="0" w:after="0" w:line="408" w:lineRule="exact"/>
        <w:ind w:left="0" w:right="0" w:firstLine="576"/>
        <w:jc w:val="left"/>
      </w:pPr>
      <w:r>
        <w:rPr/>
        <w:t xml:space="preserve">Expenses to cover the cost of administering this chapter </w:t>
      </w:r>
      <w:r>
        <w:t>((</w:t>
      </w:r>
      <w:r>
        <w:rPr>
          <w:strike/>
        </w:rPr>
        <w:t xml:space="preserve">shall</w:t>
      </w:r>
      <w:r>
        <w:t>))</w:t>
      </w:r>
      <w:r>
        <w:rPr/>
        <w:t xml:space="preserve"> </w:t>
      </w:r>
      <w:r>
        <w:rPr>
          <w:u w:val="single"/>
        </w:rPr>
        <w:t xml:space="preserve">must</w:t>
      </w:r>
      <w:r>
        <w:rPr/>
        <w:t xml:space="preserve"> be paid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under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040</w:t>
      </w:r>
      <w:r>
        <w:rPr/>
        <w:t xml:space="preserve"> and 2011 c 248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the requirements of this chapter.</w:t>
      </w:r>
    </w:p>
    <w:p>
      <w:pPr>
        <w:spacing w:before="0" w:after="0" w:line="408" w:lineRule="exact"/>
        <w:ind w:left="0" w:right="0" w:firstLine="576"/>
        <w:jc w:val="left"/>
      </w:pPr>
      <w:r>
        <w:rPr/>
        <w:t xml:space="preserve">(2)(a) A person or entity that violates this chapter is subject to a civil penalty. The department may assess and collect a civil penalty of up to ten thousand dollars per day per violation.</w:t>
      </w:r>
    </w:p>
    <w:p>
      <w:pPr>
        <w:spacing w:before="0" w:after="0" w:line="408" w:lineRule="exact"/>
        <w:ind w:left="0" w:right="0" w:firstLine="576"/>
        <w:jc w:val="left"/>
      </w:pPr>
      <w:r>
        <w:rPr/>
        <w:t xml:space="preserve">(b) All penalties collected by the department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2011 1st sp.s. c 50 s 977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w:t>
      </w:r>
      <w:r>
        <w:t>((</w:t>
      </w:r>
      <w:r>
        <w:rPr>
          <w:strike/>
        </w:rPr>
        <w:t xml:space="preserve">shall</w:t>
      </w:r>
      <w:r>
        <w:t>))</w:t>
      </w:r>
      <w:r>
        <w:rPr/>
        <w:t xml:space="preserve"> </w:t>
      </w:r>
      <w:r>
        <w:rPr>
          <w:u w:val="single"/>
        </w:rPr>
        <w:t xml:space="preserve">must</w:t>
      </w:r>
      <w:r>
        <w:rPr/>
        <w:t xml:space="preserve"> provide to the governor and the appropriate fiscal committees of the senate and house of representatives its recommendations for the funding necessary to implement the action agenda in the succeeding biennium. The recommendations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w:t>
      </w:r>
      <w:r>
        <w:t>((</w:t>
      </w:r>
      <w:r>
        <w:rPr>
          <w:strike/>
        </w:rPr>
        <w:t xml:space="preserve">shall</w:t>
      </w:r>
      <w:r>
        <w:t>))</w:t>
      </w:r>
      <w:r>
        <w:rPr/>
        <w:t xml:space="preserve"> </w:t>
      </w:r>
      <w:r>
        <w:rPr>
          <w:u w:val="single"/>
        </w:rPr>
        <w:t xml:space="preserve">must</w:t>
      </w:r>
      <w:r>
        <w:rPr/>
        <w:t xml:space="preserve">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w:t>
      </w:r>
      <w:r>
        <w:t>((</w:t>
      </w:r>
      <w:r>
        <w:rPr>
          <w:strike/>
        </w:rPr>
        <w:t xml:space="preserve">shall</w:t>
      </w:r>
      <w:r>
        <w:t>))</w:t>
      </w:r>
      <w:r>
        <w:rPr/>
        <w:t xml:space="preserve"> </w:t>
      </w:r>
      <w:r>
        <w:rPr>
          <w:u w:val="single"/>
        </w:rPr>
        <w:t xml:space="preserve">must</w:t>
      </w:r>
      <w:r>
        <w:rPr/>
        <w:t xml:space="preserve"> consult with the panel.</w:t>
      </w:r>
    </w:p>
    <w:p>
      <w:pPr>
        <w:spacing w:before="0" w:after="0" w:line="408" w:lineRule="exact"/>
        <w:ind w:left="0" w:right="0" w:firstLine="576"/>
        <w:jc w:val="left"/>
      </w:pPr>
      <w:r>
        <w:rPr/>
        <w:t xml:space="preserve">(3) By November 1st of each odd-numbered year beginning in 2009, the council </w:t>
      </w:r>
      <w:r>
        <w:t>((</w:t>
      </w:r>
      <w:r>
        <w:rPr>
          <w:strike/>
        </w:rPr>
        <w:t xml:space="preserve">shall</w:t>
      </w:r>
      <w:r>
        <w:t>))</w:t>
      </w:r>
      <w:r>
        <w:rPr/>
        <w:t xml:space="preserve"> </w:t>
      </w:r>
      <w:r>
        <w:rPr>
          <w:u w:val="single"/>
        </w:rPr>
        <w:t xml:space="preserve">must</w:t>
      </w:r>
      <w:r>
        <w:rPr/>
        <w:t xml:space="preserve">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w:t>
      </w:r>
      <w:r>
        <w:t>((</w:t>
      </w:r>
      <w:r>
        <w:rPr>
          <w:strike/>
        </w:rPr>
        <w:t xml:space="preserve">shall</w:t>
      </w:r>
      <w:r>
        <w:t>))</w:t>
      </w:r>
      <w:r>
        <w:rPr/>
        <w:t xml:space="preserve"> </w:t>
      </w:r>
      <w:r>
        <w:rPr>
          <w:u w:val="single"/>
        </w:rPr>
        <w:t xml:space="preserve">must</w:t>
      </w:r>
      <w:r>
        <w:rPr/>
        <w:t xml:space="preserve"> review state programs that fund facilities and activities that may contribute to action agenda implementation. By November 1, 2009, the council </w:t>
      </w:r>
      <w:r>
        <w:t>((</w:t>
      </w:r>
      <w:r>
        <w:rPr>
          <w:strike/>
        </w:rPr>
        <w:t xml:space="preserve">shall</w:t>
      </w:r>
      <w:r>
        <w:t>))</w:t>
      </w:r>
      <w:r>
        <w:rPr/>
        <w:t xml:space="preserve"> </w:t>
      </w:r>
      <w:r>
        <w:rPr>
          <w:u w:val="single"/>
        </w:rPr>
        <w:t xml:space="preserve">must</w:t>
      </w:r>
      <w:r>
        <w:rPr/>
        <w:t xml:space="preserve"> provide initial recommendations regarding program changes to the governor and appropriate fiscal and policy committees of the senate and house of representatives. By November 1, 2010, the council </w:t>
      </w:r>
      <w:r>
        <w:t>((</w:t>
      </w:r>
      <w:r>
        <w:rPr>
          <w:strike/>
        </w:rPr>
        <w:t xml:space="preserve">shall</w:t>
      </w:r>
      <w:r>
        <w:t>))</w:t>
      </w:r>
      <w:r>
        <w:rPr/>
        <w:t xml:space="preserve"> </w:t>
      </w:r>
      <w:r>
        <w:rPr>
          <w:u w:val="single"/>
        </w:rPr>
        <w:t xml:space="preserve">must</w:t>
      </w:r>
      <w:r>
        <w:rPr/>
        <w:t xml:space="preserve">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w:t>
      </w:r>
      <w:r>
        <w:t>((</w:t>
      </w:r>
      <w:r>
        <w:rPr>
          <w:strike/>
        </w:rPr>
        <w:t xml:space="preserve">shall</w:t>
      </w:r>
      <w:r>
        <w:t>))</w:t>
      </w:r>
      <w:r>
        <w:rPr/>
        <w:t xml:space="preserve"> </w:t>
      </w:r>
      <w:r>
        <w:rPr>
          <w:u w:val="single"/>
        </w:rPr>
        <w:t xml:space="preserve">must</w:t>
      </w:r>
      <w:r>
        <w:rPr/>
        <w:t xml:space="preserve">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public works assistance account,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w:t>
      </w:r>
      <w:r>
        <w:t>((</w:t>
      </w:r>
      <w:r>
        <w:rPr>
          <w:strike/>
        </w:rPr>
        <w:t xml:space="preserve">state toxics control account and local toxics control account</w:t>
      </w:r>
      <w:r>
        <w:t>))</w:t>
      </w:r>
      <w:r>
        <w:rPr/>
        <w:t xml:space="preserve"> </w:t>
      </w:r>
      <w:r>
        <w:rPr>
          <w:u w:val="single"/>
        </w:rPr>
        <w:t xml:space="preserve">model toxics control operating, capital, and stormwater accounts</w:t>
      </w:r>
      <w:r>
        <w:rPr/>
        <w:t xml:space="preserve"> and clean-up program, chapter 70.105D RCW;</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w:t>
      </w:r>
      <w:r>
        <w:t>((</w:t>
      </w:r>
      <w:r>
        <w:rPr>
          <w:strike/>
        </w:rPr>
        <w:t xml:space="preserve">shall</w:t>
      </w:r>
      <w:r>
        <w:t>))</w:t>
      </w:r>
      <w:r>
        <w:rPr/>
        <w:t xml:space="preserve"> </w:t>
      </w:r>
      <w:r>
        <w:rPr>
          <w:u w:val="single"/>
        </w:rPr>
        <w:t xml:space="preserve">must</w:t>
      </w:r>
      <w:r>
        <w:rPr/>
        <w:t xml:space="preserve">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rPr/>
        <w:t xml:space="preserve">(5) During the 2009-2011 fiscal biennium, the council's review must result in a ranking of projects affecting the protection and recovery of the Puget Sound basin that are proposed in the governor's capital budget submitted under RCW 43.88.060. The ranking </w:t>
      </w:r>
      <w:r>
        <w:t>((</w:t>
      </w:r>
      <w:r>
        <w:rPr>
          <w:strike/>
        </w:rPr>
        <w:t xml:space="preserve">shall</w:t>
      </w:r>
      <w:r>
        <w:t>))</w:t>
      </w:r>
      <w:r>
        <w:rPr/>
        <w:t xml:space="preserve"> </w:t>
      </w:r>
      <w:r>
        <w:rPr>
          <w:u w:val="single"/>
        </w:rPr>
        <w:t xml:space="preserve">must</w:t>
      </w:r>
      <w:r>
        <w:rPr/>
        <w:t xml:space="preserve"> include recommendations for reallocation of total requested funds for Puget Sound basin projects to achieve the greatest positive outcomes for protection and recovery of Puget Sound and </w:t>
      </w:r>
      <w:r>
        <w:t>((</w:t>
      </w:r>
      <w:r>
        <w:rPr>
          <w:strike/>
        </w:rPr>
        <w:t xml:space="preserve">shall</w:t>
      </w:r>
      <w:r>
        <w:t>))</w:t>
      </w:r>
      <w:r>
        <w:rPr/>
        <w:t xml:space="preserve"> </w:t>
      </w:r>
      <w:r>
        <w:rPr>
          <w:u w:val="single"/>
        </w:rPr>
        <w:t xml:space="preserve">must</w:t>
      </w:r>
      <w:r>
        <w:rPr/>
        <w:t xml:space="preserve"> be submitted to the appropriate fiscal committees of the legislature no later than February 1, 2011.</w:t>
      </w:r>
    </w:p>
    <w:p>
      <w:pPr>
        <w:spacing w:before="0" w:after="0" w:line="408" w:lineRule="exact"/>
        <w:ind w:left="0" w:right="0" w:firstLine="576"/>
        <w:jc w:val="left"/>
      </w:pPr>
      <w:r>
        <w:rPr/>
        <w:t xml:space="preserve">(6) During the 2011-2013 fiscal biennium, the council </w:t>
      </w:r>
      <w:r>
        <w:t>((</w:t>
      </w:r>
      <w:r>
        <w:rPr>
          <w:strike/>
        </w:rPr>
        <w:t xml:space="preserve">shall</w:t>
      </w:r>
      <w:r>
        <w:t>))</w:t>
      </w:r>
      <w:r>
        <w:rPr/>
        <w:t xml:space="preserve"> </w:t>
      </w:r>
      <w:r>
        <w:rPr>
          <w:u w:val="single"/>
        </w:rPr>
        <w:t xml:space="preserve">must</w:t>
      </w:r>
      <w:r>
        <w:rPr/>
        <w:t xml:space="preserve"> by November 1, 2012, produce the state of the Sound report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2010 1st sp.s. c 37 s 947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2009-2011 fiscal biennium, the legislature may transfer excess fund balances in the account into the state efficiency and restructuring account. Transfers of excess fund balances made under this section </w:t>
      </w:r>
      <w:r>
        <w:t>((</w:t>
      </w:r>
      <w:r>
        <w:rPr>
          <w:strike/>
        </w:rPr>
        <w:t xml:space="preserve">shall</w:t>
      </w:r>
      <w:r>
        <w:t>))</w:t>
      </w:r>
      <w:r>
        <w:rPr/>
        <w:t xml:space="preserve"> </w:t>
      </w:r>
      <w:r>
        <w:rPr>
          <w:u w:val="single"/>
        </w:rPr>
        <w:t xml:space="preserve">may</w:t>
      </w:r>
      <w:r>
        <w:rPr/>
        <w:t xml:space="preserve">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140</w:t>
      </w:r>
      <w:r>
        <w:rPr/>
        <w:t xml:space="preserve"> and 2013 2nd sp.s. c 1 s 3 are each amended to read as follows:</w:t>
      </w:r>
    </w:p>
    <w:p>
      <w:pPr>
        <w:spacing w:before="0" w:after="0" w:line="408" w:lineRule="exact"/>
        <w:ind w:left="0" w:right="0" w:firstLine="576"/>
        <w:jc w:val="left"/>
      </w:pPr>
      <w:r>
        <w:rPr/>
        <w:t xml:space="preserve">(1) The brownfield redevelopment trust fund account is created in the state treasury.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brownfield redevelopment trust fund account:</w:t>
      </w:r>
    </w:p>
    <w:p>
      <w:pPr>
        <w:spacing w:before="0" w:after="0" w:line="408" w:lineRule="exact"/>
        <w:ind w:left="0" w:right="0" w:firstLine="576"/>
        <w:jc w:val="left"/>
      </w:pPr>
      <w:r>
        <w:rPr/>
        <w:t xml:space="preserve">(a) Moneys appropriated by the legislature to the account for a specific redevelopment opportunity zone established under RCW 70.105D.150 or a specific brownfield renewal authority established under RCW 70.105D.160;</w:t>
      </w:r>
    </w:p>
    <w:p>
      <w:pPr>
        <w:spacing w:before="0" w:after="0" w:line="408" w:lineRule="exact"/>
        <w:ind w:left="0" w:right="0" w:firstLine="576"/>
        <w:jc w:val="left"/>
      </w:pPr>
      <w:r>
        <w:rPr/>
        <w:t xml:space="preserve">(b) Moneys voluntarily deposited in the account for a specific redevelopment opportunity zone or a specific brownfield renewal authority; and</w:t>
      </w:r>
    </w:p>
    <w:p>
      <w:pPr>
        <w:spacing w:before="0" w:after="0" w:line="408" w:lineRule="exact"/>
        <w:ind w:left="0" w:right="0" w:firstLine="576"/>
        <w:jc w:val="left"/>
      </w:pPr>
      <w:r>
        <w:rPr/>
        <w:t xml:space="preserve">(c) Receipts from settlements or court orders that direct payment to the account for a specific redevelopment opportunity zone to resolve a person's liability or potential liability under this chapter.</w:t>
      </w:r>
    </w:p>
    <w:p>
      <w:pPr>
        <w:spacing w:before="0" w:after="0" w:line="408" w:lineRule="exact"/>
        <w:ind w:left="0" w:right="0" w:firstLine="576"/>
        <w:jc w:val="left"/>
      </w:pPr>
      <w:r>
        <w:rPr/>
        <w:t xml:space="preserve">(3) If a settlement or court order does not direct payment of receipts described in subsection (2)(c) of this section into the brownfield redevelopment trust fund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(4) Expenditures from the brownfield redevelopment trust fund account may only be used for the purposes of remediation and cleanup at the specific redevelopment opportunity zone or specific brownfield renewal authority for which the moneys were deposited in the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The account must retain its interest earnings in accordance with RCW 43.84.092.</w:t>
      </w:r>
    </w:p>
    <w:p>
      <w:pPr>
        <w:spacing w:before="0" w:after="0" w:line="408" w:lineRule="exact"/>
        <w:ind w:left="0" w:right="0" w:firstLine="576"/>
        <w:jc w:val="left"/>
      </w:pPr>
      <w:r>
        <w:rPr/>
        <w:t xml:space="preserve">(7) The local government designating the redevelopment opportunity zone under RCW 70.105D.150 or the associated brownfield renewal authority created under RCW 70.105D.160 must be the beneficiary of the deposited moneys.</w:t>
      </w:r>
    </w:p>
    <w:p>
      <w:pPr>
        <w:spacing w:before="0" w:after="0" w:line="408" w:lineRule="exact"/>
        <w:ind w:left="0" w:right="0" w:firstLine="576"/>
        <w:jc w:val="left"/>
      </w:pPr>
      <w:r>
        <w:rPr/>
        <w:t xml:space="preserve">(8) All expenditures must be used to conduct remediation and cleanup consistent with a plan for the remediation and cleanup of the properties or facilities approved by the department under this chapter. All expenditures must meet the eligibility requirements for the use by local governments under the rules for remedial action grants adopted by the department under this chapter, including requirements for the expenditure of nonstate match funding.</w:t>
      </w:r>
    </w:p>
    <w:p>
      <w:pPr>
        <w:spacing w:before="0" w:after="0" w:line="408" w:lineRule="exact"/>
        <w:ind w:left="0" w:right="0" w:firstLine="576"/>
        <w:jc w:val="left"/>
      </w:pPr>
      <w:r>
        <w:rPr/>
        <w:t xml:space="preserve">(9) Beginning October 31, 2015, the department must provide a biennial report to the office of financial management and the legislature regarding the activity for each specific redevelopment opportunity zone or specific brownfield renewal authority for which specific legislative appropriation was provided in the previous two fiscal years.</w:t>
      </w:r>
    </w:p>
    <w:p>
      <w:pPr>
        <w:spacing w:before="0" w:after="0" w:line="408" w:lineRule="exact"/>
        <w:ind w:left="0" w:right="0" w:firstLine="576"/>
        <w:jc w:val="left"/>
      </w:pPr>
      <w:r>
        <w:rPr/>
        <w:t xml:space="preserve">(10) After the department determines that all remedial actions within the redevelopment opportunity zone identified in the plan approved under subsection (8) of this section are completed, including payment of all cost reasonably attributable to the remedial actions and cleanup, any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(11) If the department determines that substantial progress has not been made on the plan approved under subsection (8) of this section for a redevelopment opportunity zone or specific brownfield renewal authority for which moneys were deposited in the account within six years, or that the brownfield renewal authority is no longer a viable entity, then all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established under </w:t>
      </w:r>
      <w:r>
        <w:t>((</w:t>
      </w:r>
      <w:r>
        <w:rPr>
          <w:strike/>
        </w:rPr>
        <w:t xml:space="preserve">RCW 70.105D.070</w:t>
      </w:r>
      <w:r>
        <w:t>))</w:t>
      </w:r>
      <w:r>
        <w:rPr/>
        <w:t xml:space="preserve"> </w:t>
      </w:r>
      <w:r>
        <w:rPr>
          <w:u w:val="single"/>
        </w:rPr>
        <w:t xml:space="preserve">sections 202 of this act</w:t>
      </w:r>
      <w:r>
        <w:rPr/>
        <w:t xml:space="preserve">.</w:t>
      </w:r>
    </w:p>
    <w:p>
      <w:pPr>
        <w:spacing w:before="0" w:after="0" w:line="408" w:lineRule="exact"/>
        <w:ind w:left="0" w:right="0" w:firstLine="576"/>
        <w:jc w:val="left"/>
      </w:pPr>
      <w:r>
        <w:rPr/>
        <w:t xml:space="preserve">(12) The department is authorized to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105D</w:t>
      </w:r>
      <w:r>
        <w:rPr/>
        <w:t xml:space="preserve">.</w:t>
      </w:r>
      <w:r>
        <w:t xml:space="preserve">170</w:t>
      </w:r>
      <w:r>
        <w:rPr/>
        <w:t xml:space="preserve"> (Environmental legacy stewardship account) and 2013 2nd sp.s. c 28 s 1, 2013 2nd sp.s. c 19 s 7042, 2013 2nd sp.s. c 4 s 991, &amp; 2013 2nd sp.s. c 1 s 10; and</w:t>
      </w:r>
    </w:p>
    <w:p>
      <w:pPr>
        <w:spacing w:before="0" w:after="0" w:line="408" w:lineRule="exact"/>
        <w:ind w:left="0" w:right="0" w:firstLine="576"/>
        <w:jc w:val="left"/>
      </w:pPr>
      <w:r>
        <w:t>(2)</w:t>
      </w:r>
      <w:r>
        <w:rPr/>
        <w:t xml:space="preserve">RCW </w:t>
      </w:r>
      <w:r>
        <w:t xml:space="preserve">70</w:t>
      </w:r>
      <w:r>
        <w:rPr/>
        <w:t xml:space="preserve">.</w:t>
      </w:r>
      <w:r>
        <w:t xml:space="preserve">105D</w:t>
      </w:r>
      <w:r>
        <w:rPr/>
        <w:t xml:space="preserve">.</w:t>
      </w:r>
      <w:r>
        <w:t xml:space="preserve">070</w:t>
      </w:r>
      <w:r>
        <w:rPr/>
        <w:t xml:space="preserve"> (Toxics control accounts) and 2019 c . . . (SHB 1290) s 4, 2018 c 299 s 911, 2017 3rd sp.s. c 1 s 980, &amp; 2016 sp.s. c 36 s 943.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state toxics control account repealed by section 415 of this act on the effective date of this section must be transferred to the model toxics control operating account created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local toxics control account repealed by section 415 of this act on the effective date of this section must be transferred to the model toxics control capital account created in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environmental legacy stewardship account repealed by section 415 of this act on the effective date of this section must be transferred to the model toxics control stormwater account created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annual inflationary growth factor (IPD) from the tax rate.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b1bbd11e4747d5" /></Relationships>
</file>