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963337e0f04b58"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MACE</w:t>
        </w:r>
      </w:r>
      <w:r>
        <w:rPr>
          <w:b/>
        </w:rPr>
        <w:t xml:space="preserve"> </w:t>
        <w:r>
          <w:rPr/>
          <w:t xml:space="preserve">H3199.1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AMD TO FIN COMM AMD (H-3193.1/19)</w:t>
      </w:r>
      <w:r>
        <w:t xml:space="preserve"> </w:t>
      </w:r>
      <w:r>
        <w:rPr>
          <w:b/>
        </w:rPr>
        <w:t xml:space="preserve">900</w:t>
      </w:r>
    </w:p>
    <w:p>
      <w:pPr>
        <w:spacing w:before="0" w:after="0" w:line="408" w:lineRule="exact"/>
        <w:ind w:left="0" w:right="0" w:firstLine="576"/>
        <w:jc w:val="left"/>
      </w:pPr>
      <w:r>
        <w:rPr/>
        <w:t xml:space="preserve">By Representative MacEwen</w:t>
      </w:r>
    </w:p>
    <w:p>
      <w:pPr>
        <w:jc w:val="right"/>
      </w:pPr>
      <w:r>
        <w:rPr>
          <w:b/>
        </w:rPr>
        <w:t xml:space="preserve">WITHDRAWN 04/27/2019</w:t>
      </w:r>
    </w:p>
    <w:p>
      <w:pPr>
        <w:spacing w:before="0" w:after="0" w:line="408" w:lineRule="exact"/>
        <w:ind w:left="0" w:right="0" w:firstLine="576"/>
        <w:jc w:val="left"/>
      </w:pPr>
      <w:r>
        <w:rPr/>
        <w:t xml:space="preserve">On page 30, after line 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415</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w:t>
      </w:r>
      <w:r>
        <w:rPr>
          <w:u w:val="single"/>
        </w:rPr>
        <w:t xml:space="preserve">, model toxics control operating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415 of this act takes effect July 1, 2021."</w:t>
      </w:r>
    </w:p>
    <w:p>
      <w:pPr>
        <w:spacing w:before="0" w:after="0" w:line="408" w:lineRule="exact"/>
        <w:ind w:left="0" w:right="0" w:firstLine="576"/>
        <w:jc w:val="left"/>
      </w:pPr>
      <w:r>
        <w:rPr/>
        <w:t xml:space="preserve">On page 30, line 29, after "</w:t>
      </w:r>
      <w:r>
        <w:rPr>
          <w:b/>
        </w:rPr>
        <w:t xml:space="preserve">419.</w:t>
      </w:r>
      <w:r>
        <w:rPr/>
        <w:t xml:space="preserve">" strike "This" and insert "Except for section 415 of this act, this"</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Makes the Model Toxics Control Operating Account subject to the four-year outlook, effective July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62d16893c43c5" /></Relationships>
</file>