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10aed2ef47f43b9"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STEE</w:t>
        </w:r>
      </w:r>
      <w:r>
        <w:rPr>
          <w:b/>
        </w:rPr>
        <w:t xml:space="preserve"> </w:t>
        <w:r>
          <w:rPr/>
          <w:t xml:space="preserve">H3206.1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AMD TO FIN COMM AMD (H-3193.1/19)</w:t>
      </w:r>
      <w:r>
        <w:t xml:space="preserve"> </w:t>
      </w:r>
      <w:r>
        <w:rPr>
          <w:b/>
        </w:rPr>
        <w:t xml:space="preserve">904</w:t>
      </w:r>
    </w:p>
    <w:p>
      <w:pPr>
        <w:spacing w:before="0" w:after="0" w:line="408" w:lineRule="exact"/>
        <w:ind w:left="0" w:right="0" w:firstLine="576"/>
        <w:jc w:val="left"/>
      </w:pPr>
      <w:r>
        <w:rPr/>
        <w:t xml:space="preserve">By Representative Steele</w:t>
      </w:r>
    </w:p>
    <w:p>
      <w:pPr>
        <w:jc w:val="right"/>
      </w:pPr>
      <w:r>
        <w:rPr>
          <w:b/>
        </w:rPr>
        <w:t xml:space="preserve">WITHDRAWN 04/27/2019</w:t>
      </w:r>
    </w:p>
    <w:p>
      <w:pPr>
        <w:spacing w:before="0" w:after="0" w:line="408" w:lineRule="exact"/>
        <w:ind w:left="0" w:right="0" w:firstLine="576"/>
        <w:jc w:val="left"/>
      </w:pPr>
      <w:r>
        <w:rPr/>
        <w:t xml:space="preserve">On page 30, after line 32,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420</w:instrText>
      </w:r>
      <w:r/>
      <w:r>
        <w:rPr>
          <w:b/>
        </w:rPr>
        <w:fldChar w:fldCharType="end"/>
      </w:r>
      <w:r>
        <w:t xml:space="preserve">  </w:t>
      </w:r>
      <w:r>
        <w:rPr/>
        <w:t xml:space="preserve">This act is null and void if, during the 2019-2021 fiscal biennium, any funds from the following accounts are transferred to the state general fund: State toxics control account, local toxics control account, environmental legacy stewardship account, model toxics control operating account, model toxics control capital account, or model toxics control stormwater account."</w:t>
      </w:r>
    </w:p>
    <w:p>
      <w:pPr>
        <w:spacing w:before="0" w:after="0" w:line="408" w:lineRule="exact"/>
        <w:ind w:left="0" w:right="0" w:firstLine="576"/>
        <w:jc w:val="left"/>
      </w:pPr>
      <w:r>
        <w:rPr>
          <w:u w:val="single"/>
        </w:rPr>
        <w:t xml:space="preserve">EFFECT:</w:t>
      </w:r>
      <w:r>
        <w:rPr/>
        <w:t xml:space="preserve"> Makes the act null and void if funding from Model Toxics Control Act accounts, either current law or created by this act, are transferred to the state general fund in the 2019-21 biennium.</w:t>
      </w:r>
    </w:p>
    <w:p>
      <w:pPr>
        <w:spacing w:before="0" w:after="0" w:line="408" w:lineRule="exact"/>
        <w:ind w:left="0" w:right="0" w:firstLine="576"/>
        <w:jc w:val="left"/>
      </w:pPr>
      <w:r>
        <w:rPr>
          <w:u w:val="single"/>
        </w:rPr>
        <w:t xml:space="preserve">FISCAL IMPACT:</w:t>
      </w:r>
      <w:r>
        <w:rPr/>
        <w:t xml:space="preserve"> None.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32011cbafb4146" /></Relationships>
</file>