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bc548f25449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5998-S.E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H3182.1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WITHDRAWN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12,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joint legislative audit and review committee is directed to analyze the impact of the increased real estate excise tax rate assessed on transactions with a selling price greater than three million dollars on the housing supply and the cost of rent."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joint legislative audit and review committee to analyze the impact of the increased real estate excise tax rate assessed on transactions with a selling price greater than three million dollars on the housing supply and the cost of rent.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8ae764baa4226" /></Relationships>
</file>