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40689a3c9c4cc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5998-S.E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YOUN</w:t>
        </w:r>
      </w:r>
      <w:r>
        <w:rPr>
          <w:b/>
        </w:rPr>
        <w:t xml:space="preserve"> </w:t>
        <w:r>
          <w:rPr/>
          <w:t xml:space="preserve">H3215.1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5998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Young</w:t>
      </w:r>
    </w:p>
    <w:p>
      <w:pPr>
        <w:jc w:val="right"/>
      </w:pPr>
      <w:r>
        <w:rPr>
          <w:b/>
        </w:rPr>
        <w:t xml:space="preserve">NOT ADOPTED 04/27/2019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6, after "</w:t>
      </w:r>
      <w:r>
        <w:rPr>
          <w:u w:val="single"/>
        </w:rPr>
        <w:t xml:space="preserve">timberland</w:t>
      </w:r>
      <w:r>
        <w:rPr/>
        <w:t xml:space="preserve">" insert "</w:t>
      </w:r>
      <w:r>
        <w:rPr>
          <w:u w:val="single"/>
        </w:rPr>
        <w:t xml:space="preserve">, undeveloped land, water or mineral rights,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39,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(e) "Undeveloped land" means any land unaltered from the natural state by the construction, creation, or addition of structures or impervious surfaces.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real estate excise tax (REET) rate for transactions of undeveloped land and water or mineral rights will be subject to a 1.28% REET rate on the entire taxable value, regardless of selling price.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97531689b64bf2" /></Relationships>
</file>