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0360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52A4D">
            <w:t>6404-S.E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52A4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52A4D">
            <w:t>HCW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52A4D">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52A4D">
            <w:t>172</w:t>
          </w:r>
        </w:sdtContent>
      </w:sdt>
    </w:p>
    <w:p w:rsidR="00DF5D0E" w:rsidP="00B73E0A" w:rsidRDefault="00AA1230">
      <w:pPr>
        <w:pStyle w:val="OfferedBy"/>
        <w:spacing w:after="120"/>
      </w:pPr>
      <w:r>
        <w:tab/>
      </w:r>
      <w:r>
        <w:tab/>
      </w:r>
      <w:r>
        <w:tab/>
      </w:r>
    </w:p>
    <w:p w:rsidR="00DF5D0E" w:rsidRDefault="00E0360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52A4D">
            <w:rPr>
              <w:b/>
              <w:u w:val="single"/>
            </w:rPr>
            <w:t>ESSB 6404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52A4D">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E0360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52A4D">
            <w:rPr>
              <w:sz w:val="22"/>
            </w:rPr>
            <w:t>By Committee on Health Care &amp; Wellness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52A4D">
          <w:pPr>
            <w:spacing w:after="400" w:line="408" w:lineRule="exact"/>
            <w:jc w:val="right"/>
            <w:rPr>
              <w:b/>
              <w:bCs/>
            </w:rPr>
          </w:pPr>
          <w:r>
            <w:rPr>
              <w:b/>
              <w:bCs/>
            </w:rPr>
            <w:t xml:space="preserve">ADOPTED AS AMENDED 03/05/2020</w:t>
          </w:r>
        </w:p>
      </w:sdtContent>
    </w:sdt>
    <w:p w:rsidR="00041130" w:rsidP="00041130" w:rsidRDefault="00DE256E">
      <w:pPr>
        <w:spacing w:before="400" w:line="408" w:lineRule="exact"/>
        <w:ind w:firstLine="576"/>
      </w:pPr>
      <w:bookmarkStart w:name="StartOfAmendmentBody" w:id="1"/>
      <w:bookmarkEnd w:id="1"/>
      <w:permStart w:edGrp="everyone" w:id="642990018"/>
      <w:r>
        <w:tab/>
      </w:r>
      <w:r w:rsidR="00552A4D">
        <w:t xml:space="preserve">Strike everything after the enacting clause and insert the following: </w:t>
      </w:r>
    </w:p>
    <w:p w:rsidRPr="00A2528A" w:rsidR="00041130" w:rsidP="00041130" w:rsidRDefault="00041130">
      <w:pPr>
        <w:spacing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48.43 </w:t>
      </w:r>
      <w:r w:rsidRPr="00A2528A">
        <w:t>RCW to read as follows:</w:t>
      </w:r>
    </w:p>
    <w:p w:rsidRPr="00A2528A" w:rsidR="00041130" w:rsidP="00041130" w:rsidRDefault="00041130">
      <w:pPr>
        <w:spacing w:line="408" w:lineRule="exact"/>
        <w:ind w:firstLine="576"/>
      </w:pPr>
      <w:r w:rsidRPr="00A2528A">
        <w:t xml:space="preserve">(1) By October 1, 2020, and annually thereafter, for individual and group health plans issued by a carrier that </w:t>
      </w:r>
      <w:r w:rsidRPr="00A2528A">
        <w:rPr>
          <w:color w:val="000000"/>
        </w:rPr>
        <w:t>has written at least one percent of the total accident and health insurance premiums written by all companies authorized to offer accident and health insurance in Washington in the most recently available year</w:t>
      </w:r>
      <w:r w:rsidRPr="00A2528A">
        <w:t>, the carrier shall report to the commissioner the following aggregated and deidentified data related to the carrier's prior authorization practices and experience for the prior plan year:</w:t>
      </w:r>
    </w:p>
    <w:p w:rsidR="00041130" w:rsidP="00041130" w:rsidRDefault="00041130">
      <w:pPr>
        <w:spacing w:line="408" w:lineRule="exact"/>
        <w:ind w:firstLine="576"/>
      </w:pPr>
      <w:r>
        <w:t>(a) Lists of the ten inpatient medical or surgical codes:</w:t>
      </w:r>
    </w:p>
    <w:p w:rsidR="00041130" w:rsidP="00041130" w:rsidRDefault="00041130">
      <w:pPr>
        <w:spacing w:line="408" w:lineRule="exact"/>
        <w:ind w:firstLine="576"/>
      </w:pPr>
      <w:r>
        <w:t>(i) With the highest total number of prior authorization requests during the previous plan year, including the total number of prior authorization requests for each code and the percent of approved requests for each code;</w:t>
      </w:r>
    </w:p>
    <w:p w:rsidR="00041130" w:rsidP="00041130" w:rsidRDefault="00041130">
      <w:pPr>
        <w:spacing w:line="408" w:lineRule="exact"/>
        <w:ind w:firstLine="576"/>
      </w:pPr>
      <w:r>
        <w:t>(ii) With the highest percentage of approved prior authorization requests during the previous plan year, including the total number of prior authorization requests for each code and the percent of approved requests for each code; and</w:t>
      </w:r>
    </w:p>
    <w:p w:rsidR="00041130" w:rsidP="00041130" w:rsidRDefault="00041130">
      <w:pPr>
        <w:spacing w:line="408" w:lineRule="exact"/>
        <w:ind w:firstLine="576"/>
      </w:pPr>
      <w:r>
        <w:t>(iii)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rsidR="00041130" w:rsidP="00041130" w:rsidRDefault="00041130">
      <w:pPr>
        <w:spacing w:line="408" w:lineRule="exact"/>
        <w:ind w:firstLine="576"/>
      </w:pPr>
      <w:r>
        <w:t>(b) Lists of the ten outpatient medical or surgical codes:</w:t>
      </w:r>
    </w:p>
    <w:p w:rsidR="00041130" w:rsidP="00041130" w:rsidRDefault="00041130">
      <w:pPr>
        <w:spacing w:line="408" w:lineRule="exact"/>
        <w:ind w:firstLine="576"/>
      </w:pPr>
      <w:r>
        <w:lastRenderedPageBreak/>
        <w:t>(i) With the highest total number of prior authorization requests during the previous plan year, including the total number of prior authorization requests for each code and the percent of approved requests for each code;</w:t>
      </w:r>
    </w:p>
    <w:p w:rsidR="00041130" w:rsidP="00041130" w:rsidRDefault="00041130">
      <w:pPr>
        <w:spacing w:line="408" w:lineRule="exact"/>
        <w:ind w:firstLine="576"/>
      </w:pPr>
      <w:r>
        <w:t>(ii) With the highest percentage of approved prior authorization requests during the previous plan year, including the total number of prior authorization requests for each code and the percent of approved requests for each code; and</w:t>
      </w:r>
    </w:p>
    <w:p w:rsidR="00041130" w:rsidP="00041130" w:rsidRDefault="00041130">
      <w:pPr>
        <w:spacing w:line="408" w:lineRule="exact"/>
        <w:ind w:firstLine="576"/>
      </w:pPr>
      <w:r>
        <w:t>(iii)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rsidR="00041130" w:rsidP="00041130" w:rsidRDefault="00041130">
      <w:pPr>
        <w:spacing w:line="408" w:lineRule="exact"/>
        <w:ind w:firstLine="576"/>
      </w:pPr>
      <w:r>
        <w:t>(c) Lists of the ten inpatient mental health and substance use disorder service codes:</w:t>
      </w:r>
    </w:p>
    <w:p w:rsidR="00041130" w:rsidP="00041130" w:rsidRDefault="00041130">
      <w:pPr>
        <w:spacing w:line="408" w:lineRule="exact"/>
        <w:ind w:firstLine="576"/>
      </w:pPr>
      <w:r>
        <w:t>(i) With the highest total number of prior authorization requests during the previous plan year, including the total number of prior authorization requests for each code and the percent of approved requests for each code;</w:t>
      </w:r>
    </w:p>
    <w:p w:rsidR="00041130" w:rsidP="00041130" w:rsidRDefault="00041130">
      <w:pPr>
        <w:spacing w:line="408" w:lineRule="exact"/>
        <w:ind w:firstLine="576"/>
      </w:pPr>
      <w:r>
        <w:t>(ii) With the highest percentage of approved prior authorization requests during the previous plan year, including the total number of prior authorization requests for each code and the percent of approved requests for each code;</w:t>
      </w:r>
    </w:p>
    <w:p w:rsidR="00041130" w:rsidP="00041130" w:rsidRDefault="00041130">
      <w:pPr>
        <w:spacing w:line="408" w:lineRule="exact"/>
        <w:ind w:firstLine="576"/>
      </w:pPr>
      <w:r>
        <w:t>(iii)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rsidR="00041130" w:rsidP="00041130" w:rsidRDefault="00041130">
      <w:pPr>
        <w:spacing w:line="408" w:lineRule="exact"/>
        <w:ind w:firstLine="576"/>
      </w:pPr>
      <w:r>
        <w:t>(d) Lists of the ten outpatient mental health and substance use disorder service codes:</w:t>
      </w:r>
    </w:p>
    <w:p w:rsidR="00041130" w:rsidP="00041130" w:rsidRDefault="00041130">
      <w:pPr>
        <w:spacing w:line="408" w:lineRule="exact"/>
        <w:ind w:firstLine="576"/>
      </w:pPr>
      <w:r>
        <w:t>(i) With the highest total number of prior authorization requests during the previous plan year, including the total number of prior authorization requests for each code and the percent of approved requests for each code;</w:t>
      </w:r>
    </w:p>
    <w:p w:rsidR="00041130" w:rsidP="00041130" w:rsidRDefault="00041130">
      <w:pPr>
        <w:spacing w:line="408" w:lineRule="exact"/>
        <w:ind w:firstLine="576"/>
      </w:pPr>
      <w:r>
        <w:t>(ii) With the highest percentage of approved prior authorization requests during the previous plan year, including the total number of prior authorization requests for each code and the percent of approved requests for each code;</w:t>
      </w:r>
    </w:p>
    <w:p w:rsidR="00041130" w:rsidP="00041130" w:rsidRDefault="00041130">
      <w:pPr>
        <w:spacing w:line="408" w:lineRule="exact"/>
        <w:ind w:firstLine="576"/>
      </w:pPr>
      <w:r>
        <w:t>(iii)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and</w:t>
      </w:r>
    </w:p>
    <w:p w:rsidR="00041130" w:rsidP="00041130" w:rsidRDefault="00041130">
      <w:pPr>
        <w:spacing w:line="408" w:lineRule="exact"/>
        <w:ind w:firstLine="576"/>
      </w:pPr>
      <w:r>
        <w:t>(e) The average determination response time in hours for prior authorization requests to the carrier with respect to each code reported under (a) through (d) of this subsection for each of the following categories of prior authorization:</w:t>
      </w:r>
    </w:p>
    <w:p w:rsidR="00A2528A" w:rsidP="00A2528A" w:rsidRDefault="00A2528A">
      <w:pPr>
        <w:spacing w:line="408" w:lineRule="exact"/>
        <w:ind w:firstLine="576"/>
      </w:pPr>
      <w:r>
        <w:t>(i) Expedited decisions;</w:t>
      </w:r>
    </w:p>
    <w:p w:rsidR="00A2528A" w:rsidP="00A2528A" w:rsidRDefault="00A2528A">
      <w:pPr>
        <w:spacing w:line="408" w:lineRule="exact"/>
        <w:ind w:firstLine="576"/>
      </w:pPr>
      <w:r>
        <w:t>(ii) Standard decisions; and</w:t>
      </w:r>
    </w:p>
    <w:p w:rsidR="00A2528A" w:rsidP="00A2528A" w:rsidRDefault="00A2528A">
      <w:pPr>
        <w:spacing w:line="408" w:lineRule="exact"/>
        <w:ind w:firstLine="576"/>
      </w:pPr>
      <w:r>
        <w:t>(iii) Extenuating circumstances decisions.</w:t>
      </w:r>
    </w:p>
    <w:p w:rsidR="00A2528A" w:rsidP="00A2528A" w:rsidRDefault="00A2528A">
      <w:pPr>
        <w:spacing w:line="408" w:lineRule="exact"/>
        <w:ind w:firstLine="576"/>
      </w:pPr>
      <w:r>
        <w:t>(2) By January 1, 2021, and annually thereafter</w:t>
      </w:r>
      <w:r w:rsidR="00E30B25">
        <w:t>,</w:t>
      </w:r>
      <w:r>
        <w:t xml:space="preserve"> the commissioner shall aggregate and deidentify the data collected under subsection (1) of this section into a standard report and may not identify the name of the carrier that submitted the data. The commissioner must make the report available to interested parties</w:t>
      </w:r>
      <w:r w:rsidR="00E30B25">
        <w:t>.</w:t>
      </w:r>
    </w:p>
    <w:p w:rsidR="00041130" w:rsidP="00041130" w:rsidRDefault="00041130">
      <w:pPr>
        <w:spacing w:line="408" w:lineRule="exact"/>
        <w:ind w:firstLine="576"/>
      </w:pPr>
      <w:r w:rsidRPr="00A2528A">
        <w:t xml:space="preserve">(3) </w:t>
      </w:r>
      <w:r w:rsidRPr="00A2528A" w:rsidR="00A2528A">
        <w:t>T</w:t>
      </w:r>
      <w:r w:rsidRPr="00A2528A">
        <w:t>he commissioner may request additional information from carriers reporting</w:t>
      </w:r>
      <w:r>
        <w:t xml:space="preserve"> data under this section.</w:t>
      </w:r>
    </w:p>
    <w:p w:rsidR="00041130" w:rsidP="00041130" w:rsidRDefault="00A2528A">
      <w:pPr>
        <w:spacing w:line="408" w:lineRule="exact"/>
        <w:ind w:firstLine="576"/>
      </w:pPr>
      <w:r>
        <w:t>(4</w:t>
      </w:r>
      <w:r w:rsidR="00041130">
        <w:t>) The commissioner may adopt rules to implement this section. In adopting rules, the commissioner must consult stakeholders including carriers, health care practitioners, health care facilities, and patients.</w:t>
      </w:r>
    </w:p>
    <w:p w:rsidR="00552A4D" w:rsidP="00041130" w:rsidRDefault="00041130">
      <w:pPr>
        <w:spacing w:line="408" w:lineRule="exact"/>
        <w:ind w:firstLine="576"/>
      </w:pPr>
      <w:r>
        <w:t>(</w:t>
      </w:r>
      <w:r w:rsidR="00A2528A">
        <w:t>5</w:t>
      </w:r>
      <w:r>
        <w:t>) For the purpose of this section, "prior authorization" means a mandatory process that a carrier or its designated or contracted representative requires a provider or facility to follow before a service is delivered, to determine if a service is a benefit and meets the requirements for medical necessity, clinical appropriateness, level of care, or effectiveness in relation to the applicable plan, including any term used by a carrier or its designated or contracted representative to describe this process."</w:t>
      </w:r>
    </w:p>
    <w:p w:rsidR="00DF5D0E" w:rsidP="00552A4D" w:rsidRDefault="00DF5D0E">
      <w:pPr>
        <w:suppressLineNumbers/>
        <w:rPr>
          <w:spacing w:val="-3"/>
        </w:rPr>
      </w:pPr>
    </w:p>
    <w:p w:rsidRPr="00552A4D" w:rsidR="00E30B25" w:rsidP="00552A4D" w:rsidRDefault="00E30B25">
      <w:pPr>
        <w:suppressLineNumbers/>
        <w:rPr>
          <w:spacing w:val="-3"/>
        </w:rPr>
      </w:pPr>
      <w:r>
        <w:rPr>
          <w:spacing w:val="-3"/>
        </w:rPr>
        <w:tab/>
        <w:t>Correct the title.</w:t>
      </w:r>
    </w:p>
    <w:permEnd w:id="642990018"/>
    <w:p w:rsidR="00ED2EEB" w:rsidP="00552A4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330724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52A4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52A4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D158F">
                  <w:t xml:space="preserve">Removes the Prior Authorization Work Group and related provisions. </w:t>
                </w:r>
                <w:r w:rsidRPr="0096303F" w:rsidR="001C1B27">
                  <w:t>  </w:t>
                </w:r>
              </w:p>
              <w:p w:rsidRPr="007D1589" w:rsidR="001B4E53" w:rsidP="00552A4D" w:rsidRDefault="001B4E53">
                <w:pPr>
                  <w:pStyle w:val="ListBullet"/>
                  <w:numPr>
                    <w:ilvl w:val="0"/>
                    <w:numId w:val="0"/>
                  </w:numPr>
                  <w:suppressLineNumbers/>
                </w:pPr>
              </w:p>
            </w:tc>
          </w:tr>
        </w:sdtContent>
      </w:sdt>
      <w:permEnd w:id="1833072483"/>
    </w:tbl>
    <w:p w:rsidR="00DF5D0E" w:rsidP="00552A4D" w:rsidRDefault="00DF5D0E">
      <w:pPr>
        <w:pStyle w:val="BillEnd"/>
        <w:suppressLineNumbers/>
      </w:pPr>
    </w:p>
    <w:p w:rsidR="00DF5D0E" w:rsidP="00552A4D" w:rsidRDefault="00DE256E">
      <w:pPr>
        <w:pStyle w:val="BillEnd"/>
        <w:suppressLineNumbers/>
      </w:pPr>
      <w:r>
        <w:rPr>
          <w:b/>
        </w:rPr>
        <w:t>--- END ---</w:t>
      </w:r>
    </w:p>
    <w:p w:rsidR="00DF5D0E" w:rsidP="00552A4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A4D" w:rsidRDefault="00552A4D" w:rsidP="00DF5D0E">
      <w:r>
        <w:separator/>
      </w:r>
    </w:p>
  </w:endnote>
  <w:endnote w:type="continuationSeparator" w:id="0">
    <w:p w:rsidR="00552A4D" w:rsidRDefault="00552A4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472" w:rsidRDefault="00142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03609">
    <w:pPr>
      <w:pStyle w:val="AmendDraftFooter"/>
    </w:pPr>
    <w:r>
      <w:fldChar w:fldCharType="begin"/>
    </w:r>
    <w:r>
      <w:instrText xml:space="preserve"> TITLE   \* MERGEFORMAT </w:instrText>
    </w:r>
    <w:r>
      <w:fldChar w:fldCharType="separate"/>
    </w:r>
    <w:r w:rsidR="00875579">
      <w:t>6404-S.E AMH HCW WEIK 172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03609">
    <w:pPr>
      <w:pStyle w:val="AmendDraftFooter"/>
    </w:pPr>
    <w:r>
      <w:fldChar w:fldCharType="begin"/>
    </w:r>
    <w:r>
      <w:instrText xml:space="preserve"> TITLE   \* MERGEFORMAT </w:instrText>
    </w:r>
    <w:r>
      <w:fldChar w:fldCharType="separate"/>
    </w:r>
    <w:r w:rsidR="00875579">
      <w:t>6404-S.E AMH HCW WEIK 172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A4D" w:rsidRDefault="00552A4D" w:rsidP="00DF5D0E">
      <w:r>
        <w:separator/>
      </w:r>
    </w:p>
  </w:footnote>
  <w:footnote w:type="continuationSeparator" w:id="0">
    <w:p w:rsidR="00552A4D" w:rsidRDefault="00552A4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472" w:rsidRDefault="00142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1130"/>
    <w:rsid w:val="00050639"/>
    <w:rsid w:val="00060D21"/>
    <w:rsid w:val="00096165"/>
    <w:rsid w:val="000C6C82"/>
    <w:rsid w:val="000E603A"/>
    <w:rsid w:val="00102468"/>
    <w:rsid w:val="00106544"/>
    <w:rsid w:val="00142472"/>
    <w:rsid w:val="00146AAF"/>
    <w:rsid w:val="001A775A"/>
    <w:rsid w:val="001B4E53"/>
    <w:rsid w:val="001C1B27"/>
    <w:rsid w:val="001C7F91"/>
    <w:rsid w:val="001E6675"/>
    <w:rsid w:val="00217E8A"/>
    <w:rsid w:val="00265296"/>
    <w:rsid w:val="00281CBD"/>
    <w:rsid w:val="00316CD9"/>
    <w:rsid w:val="003235C1"/>
    <w:rsid w:val="003E2FC6"/>
    <w:rsid w:val="00492DDC"/>
    <w:rsid w:val="004C6615"/>
    <w:rsid w:val="00523C5A"/>
    <w:rsid w:val="00552A4D"/>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5579"/>
    <w:rsid w:val="008C7E6E"/>
    <w:rsid w:val="00931B84"/>
    <w:rsid w:val="0096303F"/>
    <w:rsid w:val="00972869"/>
    <w:rsid w:val="00984CD1"/>
    <w:rsid w:val="009D158F"/>
    <w:rsid w:val="009F23A9"/>
    <w:rsid w:val="00A01F29"/>
    <w:rsid w:val="00A17B5B"/>
    <w:rsid w:val="00A2528A"/>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53C7"/>
    <w:rsid w:val="00D40447"/>
    <w:rsid w:val="00D659AC"/>
    <w:rsid w:val="00DA47F3"/>
    <w:rsid w:val="00DC2C13"/>
    <w:rsid w:val="00DE256E"/>
    <w:rsid w:val="00DF5D0E"/>
    <w:rsid w:val="00E03609"/>
    <w:rsid w:val="00E1471A"/>
    <w:rsid w:val="00E267B1"/>
    <w:rsid w:val="00E30B25"/>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A2528A"/>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07C2A"/>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6404-S.E</BillDocName>
  <AmendType>AMH</AmendType>
  <SponsorAcronym>HCW</SponsorAcronym>
  <DrafterAcronym>WEIK</DrafterAcronym>
  <DraftNumber>172</DraftNumber>
  <ReferenceNumber>ESSB 6404</ReferenceNumber>
  <Floor>H COMM AMD</Floor>
  <AmendmentNumber> </AmendmentNumber>
  <Sponsors>By Committee on Health Care &amp; Wellness</Sponsors>
  <FloorAction>ADOPTED AS AMENDED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2</Pages>
  <Words>888</Words>
  <Characters>4907</Characters>
  <Application>Microsoft Office Word</Application>
  <DocSecurity>8</DocSecurity>
  <Lines>114</Lines>
  <Paragraphs>40</Paragraphs>
  <ScaleCrop>false</ScaleCrop>
  <HeadingPairs>
    <vt:vector size="2" baseType="variant">
      <vt:variant>
        <vt:lpstr>Title</vt:lpstr>
      </vt:variant>
      <vt:variant>
        <vt:i4>1</vt:i4>
      </vt:variant>
    </vt:vector>
  </HeadingPairs>
  <TitlesOfParts>
    <vt:vector size="1" baseType="lpstr">
      <vt:lpstr>6404-S.E AMH HCW WEIK 172</vt:lpstr>
    </vt:vector>
  </TitlesOfParts>
  <Company>Washington State Legislature</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6404-S.E AMH HCW WEIK 172</dc:title>
  <dc:creator>Kim Weidenaar</dc:creator>
  <cp:lastModifiedBy>Weidenaar, Kim</cp:lastModifiedBy>
  <cp:revision>9</cp:revision>
  <dcterms:created xsi:type="dcterms:W3CDTF">2020-02-26T19:57:00Z</dcterms:created>
  <dcterms:modified xsi:type="dcterms:W3CDTF">2020-02-27T23:45:00Z</dcterms:modified>
</cp:coreProperties>
</file>