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ad4f18122842c5" /></Relationships>
</file>

<file path=word/document.xml><?xml version="1.0" encoding="utf-8"?>
<w:document xmlns:w="http://schemas.openxmlformats.org/wordprocessingml/2006/main">
  <w:body>
    <w:p>
      <w:r>
        <w:rPr>
          <w:b/>
        </w:rPr>
        <w:r>
          <w:rPr/>
          <w:t xml:space="preserve">6478-S2</w:t>
        </w:r>
      </w:r>
      <w:r>
        <w:rPr>
          <w:b/>
        </w:rPr>
        <w:t xml:space="preserve"> </w:t>
        <w:t xml:space="preserve">AMH</w:t>
      </w:r>
      <w:r>
        <w:rPr>
          <w:b/>
        </w:rPr>
        <w:t xml:space="preserve"> </w:t>
        <w:r>
          <w:rPr/>
          <w:t xml:space="preserve">SENN</w:t>
        </w:r>
      </w:r>
      <w:r>
        <w:rPr>
          <w:b/>
        </w:rPr>
        <w:t xml:space="preserve"> </w:t>
        <w:r>
          <w:rPr/>
          <w:t xml:space="preserve">H5406.1</w:t>
        </w:r>
      </w:r>
      <w:r>
        <w:rPr>
          <w:b/>
        </w:rPr>
        <w:t xml:space="preserve"> - NOT FOR FLOOR USE</w:t>
      </w:r>
    </w:p>
    <w:p>
      <w:pPr>
        <w:ind w:left="0" w:right="0" w:firstLine="576"/>
      </w:pPr>
    </w:p>
    <w:p>
      <w:pPr>
        <w:spacing w:before="480" w:after="0" w:line="408" w:lineRule="exact"/>
      </w:pPr>
      <w:r>
        <w:rPr>
          <w:b/>
          <w:u w:val="single"/>
        </w:rPr>
        <w:t xml:space="preserve">2SSB 6478</w:t>
      </w:r>
      <w:r>
        <w:t xml:space="preserve"> -</w:t>
      </w:r>
      <w:r>
        <w:t xml:space="preserve"> </w:t>
        <w:t xml:space="preserve">H AMD</w:t>
      </w:r>
      <w:r>
        <w:t xml:space="preserve"> </w:t>
      </w:r>
      <w:r>
        <w:rPr>
          <w:b/>
        </w:rPr>
        <w:t xml:space="preserve">2133</w:t>
      </w:r>
    </w:p>
    <w:p>
      <w:pPr>
        <w:spacing w:before="0" w:after="0" w:line="408" w:lineRule="exact"/>
        <w:ind w:left="0" w:right="0" w:firstLine="576"/>
        <w:jc w:val="left"/>
      </w:pPr>
      <w:r>
        <w:rPr/>
        <w:t xml:space="preserve">By Representative Senn</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2019 c 343 s 2 are each amended to read as follows:</w:t>
      </w:r>
    </w:p>
    <w:p>
      <w:pPr>
        <w:spacing w:before="0" w:after="0" w:line="408" w:lineRule="exact"/>
        <w:ind w:left="0" w:right="0" w:firstLine="576"/>
        <w:jc w:val="left"/>
      </w:pPr>
      <w:r>
        <w:rPr/>
        <w:t xml:space="preserve">(1) A family that includes an adult who has received temporary assistance for needy families for sixty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t xml:space="preserve">(4)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(5)(a)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(i) By reason of hardship, including </w:t>
      </w:r>
      <w:r>
        <w:t>((</w:t>
      </w:r>
      <w:r>
        <w:rPr>
          <w:strike/>
        </w:rPr>
        <w:t xml:space="preserve">if the recipient is a homeless person as described in RCW 43.185C.010</w:t>
      </w:r>
      <w:r>
        <w:t>))</w:t>
      </w:r>
      <w:r>
        <w:rPr/>
        <w:t xml:space="preserve"> </w:t>
      </w:r>
      <w:r>
        <w:rPr>
          <w:u w:val="single"/>
        </w:rPr>
        <w:t xml:space="preserve">when:</w:t>
      </w:r>
    </w:p>
    <w:p>
      <w:pPr>
        <w:spacing w:before="0" w:after="0" w:line="408" w:lineRule="exact"/>
        <w:ind w:left="0" w:right="0" w:firstLine="576"/>
        <w:jc w:val="left"/>
      </w:pPr>
      <w:r>
        <w:rPr>
          <w:u w:val="single"/>
        </w:rPr>
        <w:t xml:space="preserve">(A) The recipient's family includes a child or youth who is without a fixed, regular, and adequate nighttime residence as described in the federal McKinney-Vento homeless assistance act (Title 42 U.S.C., chapter 119, subchapter VI, part B) as it existed on January 1, 2020; or </w:t>
      </w:r>
    </w:p>
    <w:p>
      <w:pPr>
        <w:spacing w:before="0" w:after="0" w:line="408" w:lineRule="exact"/>
        <w:ind w:left="0" w:right="0" w:firstLine="576"/>
        <w:jc w:val="left"/>
      </w:pPr>
      <w:r>
        <w:rPr>
          <w:u w:val="single"/>
        </w:rPr>
        <w:t xml:space="preserve">(B) The recipient is in need of mental health or substance use disorder treatment</w:t>
      </w:r>
      <w:r>
        <w:rPr/>
        <w:t xml:space="preserve">; or</w:t>
      </w:r>
    </w:p>
    <w:p>
      <w:pPr>
        <w:spacing w:before="0" w:after="0" w:line="408" w:lineRule="exact"/>
        <w:ind w:left="0" w:right="0" w:firstLine="576"/>
        <w:jc w:val="left"/>
      </w:pPr>
      <w:r>
        <w:rPr/>
        <w:t xml:space="preserve">(ii)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t xml:space="preserve">(6) The department shall not exempt a recipient and his or her family from the application of subsection (1) or (3) of this section until after the recipient has received fifty-two months of assistance under this chapter.</w:t>
      </w:r>
    </w:p>
    <w:p>
      <w:pPr>
        <w:spacing w:before="0" w:after="0" w:line="408" w:lineRule="exact"/>
        <w:ind w:left="0" w:right="0" w:firstLine="576"/>
        <w:jc w:val="left"/>
      </w:pPr>
      <w:r>
        <w:rPr/>
        <w:t xml:space="preserve">(7)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(1) Annually by December 31st, the department must report to the governor and the appropriate policy and fiscal committees of the legislature disaggregated data identifying the race of individuals whose temporary assistance for needy families benefits were reduced or terminated during the preceding year due to:</w:t>
      </w:r>
    </w:p>
    <w:p>
      <w:pPr>
        <w:spacing w:before="0" w:after="0" w:line="408" w:lineRule="exact"/>
        <w:ind w:left="0" w:right="0" w:firstLine="576"/>
        <w:jc w:val="left"/>
      </w:pPr>
      <w:r>
        <w:rPr/>
        <w:t xml:space="preserve">(a) Sanction as described in RCW 74.08A.260; or</w:t>
      </w:r>
    </w:p>
    <w:p>
      <w:pPr>
        <w:spacing w:before="0" w:after="0" w:line="408" w:lineRule="exact"/>
        <w:ind w:left="0" w:right="0" w:firstLine="576"/>
        <w:jc w:val="left"/>
      </w:pPr>
      <w:r>
        <w:rPr/>
        <w:t xml:space="preserve">(b) Reaching the sixty-month time limit under RCW 74.08A.010.</w:t>
      </w:r>
    </w:p>
    <w:p>
      <w:pPr>
        <w:spacing w:before="0" w:after="0" w:line="408" w:lineRule="exact"/>
        <w:ind w:left="0" w:right="0" w:firstLine="576"/>
        <w:jc w:val="left"/>
      </w:pPr>
      <w:r>
        <w:rPr/>
        <w:t xml:space="preserve">(2) If the disaggregated data for terminated or sanctioned individuals shows a disproportionate representation of any racial group that has experienced historic disparities or discrimination, the department must describe steps it is taking to address and remedy the racial disproportionality.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provision requiring the Department of Social and Health Services (DSHS) to reduce a family's grant after two months, and to terminate a family's grant after 12 months of continuous noncompliance.</w:t>
      </w:r>
    </w:p>
    <w:p>
      <w:pPr>
        <w:spacing w:before="0" w:after="0" w:line="408" w:lineRule="exact"/>
        <w:ind w:left="0" w:right="0" w:firstLine="576"/>
        <w:jc w:val="left"/>
      </w:pPr>
      <w:r>
        <w:rPr/>
        <w:t xml:space="preserve">Adds criteria by which DSHS must exempt a recipient from the 60-month lifetime limit for benefits and removes the existing definition of "homeless person" as it relates to time limit extensions.</w:t>
      </w:r>
    </w:p>
    <w:p>
      <w:pPr>
        <w:spacing w:before="0" w:after="0" w:line="408" w:lineRule="exact"/>
        <w:ind w:left="0" w:right="0" w:firstLine="576"/>
        <w:jc w:val="left"/>
      </w:pPr>
      <w:r>
        <w:rPr/>
        <w:t xml:space="preserve">Requires DSHS to report disaggregated data identifying the race of individuals whose benefits were reduced or terminated during the preceding year due to sanction or reaching the 60-month limit and describe steps the Department is taking to address and remedy any racial disproportionality.</w:t>
      </w:r>
    </w:p>
    <w:p>
      <w:pPr>
        <w:spacing w:before="0" w:after="0" w:line="408" w:lineRule="exact"/>
        <w:ind w:left="0" w:right="0" w:firstLine="576"/>
        <w:jc w:val="left"/>
      </w:pPr>
      <w:r>
        <w:rPr/>
        <w:t xml:space="preserve">Removes the effective date of May 1, 2021, for the Act and adds an effective date of July 1, 2021, for time limit extension policy changes.</w:t>
      </w:r>
    </w:p>
    <w:p>
      <w:pPr>
        <w:spacing w:before="0" w:after="0" w:line="408" w:lineRule="exact"/>
        <w:ind w:left="0" w:right="0" w:firstLine="576"/>
        <w:jc w:val="left"/>
      </w:pPr>
      <w:r>
        <w:rPr/>
        <w:t xml:space="preserve">Removes the provision specifying the Act applies prospectively only.</w:t>
      </w:r>
    </w:p>
    <w:p>
      <w:pPr>
        <w:spacing w:before="0" w:after="0" w:line="408" w:lineRule="exact"/>
        <w:ind w:left="0" w:right="0" w:firstLine="576"/>
        <w:jc w:val="left"/>
      </w:pPr>
      <w:r>
        <w:rPr/>
        <w:t xml:space="preserve">Removes the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70111563864adf" /></Relationships>
</file>