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91e11a62b42a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CALD</w:t>
        </w:r>
      </w:r>
      <w:r>
        <w:rPr>
          <w:b/>
        </w:rPr>
        <w:t xml:space="preserve"> </w:t>
        <w:r>
          <w:rPr/>
          <w:t xml:space="preserve">H4588.1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Caldier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Dental services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dental services from the 1.75 percent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79e65d33045b8" /></Relationships>
</file>