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6b7289bfaa4e2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6617-S.E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FITZ</w:t>
        </w:r>
      </w:r>
      <w:r>
        <w:rPr>
          <w:b/>
        </w:rPr>
        <w:t xml:space="preserve"> </w:t>
        <w:r>
          <w:rPr/>
          <w:t xml:space="preserve">H5238.1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ESSB 6617</w:t>
      </w:r>
      <w:r>
        <w:t xml:space="preserve"> -</w:t>
      </w:r>
      <w:r>
        <w:t xml:space="preserve"> </w:t>
        <w:t xml:space="preserve">H AMD TO ENVI COMM AMD (H-5142.2/20)</w:t>
      </w:r>
      <w:r>
        <w:t xml:space="preserve"> </w:t>
      </w:r>
      <w:r>
        <w:rPr>
          <w:b/>
        </w:rPr>
        <w:t xml:space="preserve">1789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Fitzgibbon</w:t>
      </w:r>
    </w:p>
    <w:p>
      <w:pPr>
        <w:jc w:val="right"/>
      </w:pPr>
      <w:r>
        <w:rPr>
          <w:b/>
        </w:rPr>
        <w:t xml:space="preserve">WITHDRAWN 03/06/2020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after line 11,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6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36</w:t>
      </w:r>
      <w:r>
        <w:rPr/>
        <w:t xml:space="preserve">.</w:t>
      </w:r>
      <w:r>
        <w:t xml:space="preserve">70A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Nothing in this act modifies or limits any rights or interests legally recorded in the governing documents of associations subject to chapter 64.32, 64.34, 64.38, or 64.90 RCW."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Declares that nothing in the act modifies or limits any rights or interests legally recorded in the governing documents of condominium, homeowner, or common interest ownership associations.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5101c513a34616" /></Relationships>
</file>