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578fc7f3a40db" /></Relationships>
</file>

<file path=word/document.xml><?xml version="1.0" encoding="utf-8"?>
<w:document xmlns:w="http://schemas.openxmlformats.org/wordprocessingml/2006/main">
  <w:body>
    <w:p>
      <w:r>
        <w:rPr>
          <w:b/>
        </w:rPr>
        <w:r>
          <w:rPr/>
          <w:t xml:space="preserve">6617-S.E</w:t>
        </w:r>
      </w:r>
      <w:r>
        <w:rPr>
          <w:b/>
        </w:rPr>
        <w:t xml:space="preserve"> </w:t>
        <w:t xml:space="preserve">AMH</w:t>
      </w:r>
      <w:r>
        <w:rPr>
          <w:b/>
        </w:rPr>
        <w:t xml:space="preserve"> </w:t>
        <w:r>
          <w:rPr/>
          <w:t xml:space="preserve">FITZ</w:t>
        </w:r>
      </w:r>
      <w:r>
        <w:rPr>
          <w:b/>
        </w:rPr>
        <w:t xml:space="preserve"> </w:t>
        <w:r>
          <w:rPr/>
          <w:t xml:space="preserve">H5386.1</w:t>
        </w:r>
      </w:r>
      <w:r>
        <w:rPr>
          <w:b/>
        </w:rPr>
        <w:t xml:space="preserve"> - NOT FOR FLOOR USE</w:t>
      </w:r>
    </w:p>
    <w:p>
      <w:pPr>
        <w:ind w:left="0" w:right="0" w:firstLine="576"/>
      </w:pPr>
    </w:p>
    <w:p>
      <w:pPr>
        <w:spacing w:before="480" w:after="0" w:line="408" w:lineRule="exact"/>
      </w:pPr>
      <w:r>
        <w:rPr>
          <w:b/>
          <w:u w:val="single"/>
        </w:rPr>
        <w:t xml:space="preserve">ESSB 6617</w:t>
      </w:r>
      <w:r>
        <w:t xml:space="preserve"> -</w:t>
      </w:r>
      <w:r>
        <w:t xml:space="preserve"> </w:t>
        <w:t xml:space="preserve">H AMD</w:t>
      </w:r>
      <w:r>
        <w:t xml:space="preserve"> </w:t>
      </w:r>
      <w:r>
        <w:rPr>
          <w:b/>
        </w:rPr>
        <w:t xml:space="preserve">2038</w:t>
      </w:r>
    </w:p>
    <w:p>
      <w:pPr>
        <w:spacing w:before="0" w:after="0" w:line="408" w:lineRule="exact"/>
        <w:ind w:left="0" w:right="0" w:firstLine="576"/>
        <w:jc w:val="left"/>
      </w:pPr>
      <w:r>
        <w:rPr/>
        <w:t xml:space="preserve">By Representative Fitzgibbon</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w:t>
      </w:r>
    </w:p>
    <w:p>
      <w:pPr>
        <w:spacing w:before="0" w:after="0" w:line="408" w:lineRule="exact"/>
        <w:ind w:left="0" w:right="0" w:firstLine="576"/>
        <w:jc w:val="left"/>
      </w:pPr>
      <w:r>
        <w:rPr/>
        <w:t xml:space="preserve">(b)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scarce subsidized housing space and resources.</w:t>
      </w:r>
    </w:p>
    <w:p>
      <w:pPr>
        <w:spacing w:before="0" w:after="0" w:line="408" w:lineRule="exact"/>
        <w:ind w:left="0" w:right="0" w:firstLine="576"/>
        <w:jc w:val="left"/>
      </w:pPr>
      <w:r>
        <w:rPr/>
        <w:t xml:space="preserve">(c)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(d) Homeowners who add an accessory dwelling unit may benefit from added income and an increased sense of security.</w:t>
      </w:r>
    </w:p>
    <w:p>
      <w:pPr>
        <w:spacing w:before="0" w:after="0" w:line="408" w:lineRule="exact"/>
        <w:ind w:left="0" w:right="0" w:firstLine="576"/>
        <w:jc w:val="left"/>
      </w:pPr>
      <w:r>
        <w:rPr/>
        <w:t xml:space="preserve">(e)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(5)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(6)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must adopt or amend by ordinance, and incorporate into their development regulations, zoning regulations, and other official controls the requirements of section 4 of this act to take effect by July 1, 2021.</w:t>
      </w:r>
    </w:p>
    <w:p>
      <w:pPr>
        <w:spacing w:before="0" w:after="0" w:line="408" w:lineRule="exact"/>
        <w:ind w:left="0" w:right="0" w:firstLine="576"/>
        <w:jc w:val="left"/>
      </w:pPr>
      <w:r>
        <w:rPr/>
        <w:t xml:space="preserve">(2) Beginning July 1, 2021, the requirements of section 4 of this act:</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 (2) and (3) of this section, through ordinances, development regulations, zoning regulations, and other official controls as required under section 3 of this act, cities may not require the provision of off-street parking for accessory dwelling units within one-quarter mile of a major transit stop.</w:t>
      </w:r>
    </w:p>
    <w:p>
      <w:pPr>
        <w:spacing w:before="0" w:after="0" w:line="408" w:lineRule="exact"/>
        <w:ind w:left="0" w:right="0" w:firstLine="576"/>
        <w:jc w:val="left"/>
      </w:pPr>
      <w:r>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t xml:space="preserve">(3) A city that has adopted or substantively amended accessory dwelling unit regulations within the four years previous to the effective date of this section is not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modifies or limits any rights or interests legally recorded in the governing documents of associations subject to chapter 64.32, 64.34, 64.38, or 64.90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Engrossed Substitute Senate Bill:</w:t>
      </w:r>
    </w:p>
    <w:p>
      <w:pPr>
        <w:spacing w:before="0" w:after="0" w:line="408" w:lineRule="exact"/>
        <w:ind w:left="0" w:right="0" w:firstLine="576"/>
        <w:jc w:val="left"/>
      </w:pPr>
      <w:r>
        <w:rPr/>
        <w:t xml:space="preserve">(1) Limits the scope of the bill to GMA-planning cities, and provides that accessory dwelling unit (ADU) requirements do not apply to counties;</w:t>
      </w:r>
    </w:p>
    <w:p>
      <w:pPr>
        <w:spacing w:before="0" w:after="0" w:line="408" w:lineRule="exact"/>
        <w:ind w:left="0" w:right="0" w:firstLine="576"/>
        <w:jc w:val="left"/>
      </w:pPr>
      <w:r>
        <w:rPr/>
        <w:t xml:space="preserve">(2) Limits the scope of ADU policies addressed by the bill to parking-related policies, and amends the areas in which cities may require off-street parking associated with the development of ADUs to include areas that are at least one-quarter of a mile away from a major transit stop, rather than one-half of a mile away from a major transit stop;</w:t>
      </w:r>
    </w:p>
    <w:p>
      <w:pPr>
        <w:spacing w:before="0" w:after="0" w:line="408" w:lineRule="exact"/>
        <w:ind w:left="0" w:right="0" w:firstLine="576"/>
        <w:jc w:val="left"/>
      </w:pPr>
      <w:r>
        <w:rPr/>
        <w:t xml:space="preserve">(3) Limits the types of bus and other fixed route service stops that qualify as major transit stops to those that are served every 15 minutes during peak hours of operation;</w:t>
      </w:r>
    </w:p>
    <w:p>
      <w:pPr>
        <w:spacing w:before="0" w:after="0" w:line="408" w:lineRule="exact"/>
        <w:ind w:left="0" w:right="0" w:firstLine="576"/>
        <w:jc w:val="left"/>
      </w:pPr>
      <w:r>
        <w:rPr/>
        <w:t xml:space="preserve">(4) Authorizes cities to require parking associated with an ADU located within one-quarter of a mile from a major transit stop if the city has determined that the ADU is in an area with a lack of access to street parking capacity, physical space impediments, or other reasons supported by evidence that would make on-street parking infeasible;</w:t>
      </w:r>
    </w:p>
    <w:p>
      <w:pPr>
        <w:spacing w:before="0" w:after="0" w:line="408" w:lineRule="exact"/>
        <w:ind w:left="0" w:right="0" w:firstLine="576"/>
        <w:jc w:val="left"/>
      </w:pPr>
      <w:r>
        <w:rPr/>
        <w:t xml:space="preserve">(5) Eliminates the exemption from appeal under the State Environmental Policy Act (SEPA) for the adoption of specified ADU policies;</w:t>
      </w:r>
    </w:p>
    <w:p>
      <w:pPr>
        <w:spacing w:before="0" w:after="0" w:line="408" w:lineRule="exact"/>
        <w:ind w:left="0" w:right="0" w:firstLine="576"/>
        <w:jc w:val="left"/>
      </w:pPr>
      <w:r>
        <w:rPr/>
        <w:t xml:space="preserve">(6) Eliminates requirements for the adoption of ADU policies by cities that have adopted or substantively amended ADU policies within the previous four years; and</w:t>
      </w:r>
    </w:p>
    <w:p>
      <w:pPr>
        <w:spacing w:before="0" w:after="0" w:line="408" w:lineRule="exact"/>
        <w:ind w:left="0" w:right="0" w:firstLine="576"/>
        <w:jc w:val="left"/>
      </w:pPr>
      <w:r>
        <w:rPr/>
        <w:t xml:space="preserve">(7) Declares that nothing in the act modifies or limits any rights or interests legally recorded in the governing documents of condominium, homeowner, or common interest ownership associations.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03f39c03d944b7" /></Relationships>
</file>