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d9d0a62944661"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ENGR</w:t>
        </w:r>
      </w:r>
      <w:r>
        <w:rPr>
          <w:b/>
        </w:rPr>
        <w:t xml:space="preserve"> </w:t>
        <w:r>
          <w:rPr/>
          <w:t xml:space="preserve">S3352.E</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the few private long-term care insurance plans that exist are unaffordable for most people, leaving more than ninety percent of seniors uninsured for long-term care. The current market for long-term care insurance is broken: In 2002, there were one hundred two companies offering long-term care insurance coverage, but today that number is only twelve.</w:t>
      </w:r>
    </w:p>
    <w:p>
      <w:pPr>
        <w:spacing w:before="0" w:after="0" w:line="408" w:lineRule="exact"/>
        <w:ind w:left="0" w:right="0" w:firstLine="576"/>
        <w:jc w:val="left"/>
      </w:pPr>
      <w:r>
        <w:rPr/>
        <w:t xml:space="preserve">(2) The majority of people over sixty-five years of age will need long-term services and supports within their lifetimes. The senior population has doubled in Washington since 1980, to currently over one million, and will more than double again by 2040. Without access to insurance, seniors must rely on family care and spend their life savings down to poverty levels in order to access long-term care through medicaid. Middle class families are at the greatest risk because most have not saved enough to cover long-term care costs. When seniors reach the point of needing assistance with eating, dressing, and personal care, they must spend down to their last remaining two thousand dollars before they qualify for state assistance, leaving family members in jeopardy for their own future care needs. In Washington, more than eight hundred fifty thousand unpaid family caregivers provided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out-of-pocket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four potential caregivers for each senior.</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will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an alternative funding mechanism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At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an alternative funding mechanism for long-term care access could save the medicaid program eight hundred ninety-eight million dollars in the 2051-2053 biennium.</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approved services and long-term care settings. Therefore, any alternative funding mechanism program should be structured such that:</w:t>
      </w:r>
    </w:p>
    <w:p>
      <w:pPr>
        <w:spacing w:before="0" w:after="0" w:line="408" w:lineRule="exact"/>
        <w:ind w:left="0" w:right="0" w:firstLine="576"/>
        <w:jc w:val="left"/>
      </w:pPr>
      <w:r>
        <w:rPr/>
        <w:t xml:space="preserve">(a) Individuals are able to use their benefits for long-term care services in the setting of their choice, whether in the home, a residential community-based setting, or a skilled nursing facility;</w:t>
      </w:r>
    </w:p>
    <w:p>
      <w:pPr>
        <w:spacing w:before="0" w:after="0" w:line="408" w:lineRule="exact"/>
        <w:ind w:left="0" w:right="0" w:firstLine="576"/>
        <w:jc w:val="left"/>
      </w:pPr>
      <w:r>
        <w:rPr/>
        <w:t xml:space="preserve">(b) The choice of provider types and approved services is the same or greater than currently available through Washington's publicly funded long-term services and supports;</w:t>
      </w:r>
    </w:p>
    <w:p>
      <w:pPr>
        <w:spacing w:before="0" w:after="0" w:line="408" w:lineRule="exact"/>
        <w:ind w:left="0" w:right="0" w:firstLine="576"/>
        <w:jc w:val="left"/>
      </w:pPr>
      <w:r>
        <w:rPr/>
        <w:t xml:space="preserve">(c) Transitions from private and public funding sources for consumers are seamless;</w:t>
      </w:r>
    </w:p>
    <w:p>
      <w:pPr>
        <w:spacing w:before="0" w:after="0" w:line="408" w:lineRule="exact"/>
        <w:ind w:left="0" w:right="0" w:firstLine="576"/>
        <w:jc w:val="left"/>
      </w:pPr>
      <w:r>
        <w:rPr/>
        <w:t xml:space="preserve">(d) Long-term care health status data is collected across all home and community-based settings; and</w:t>
      </w:r>
    </w:p>
    <w:p>
      <w:pPr>
        <w:spacing w:before="0" w:after="0" w:line="408" w:lineRule="exact"/>
        <w:ind w:left="0" w:right="0" w:firstLine="576"/>
        <w:jc w:val="left"/>
      </w:pPr>
      <w:r>
        <w:rPr/>
        <w:t xml:space="preserve">(e) Program design focuses on the need to provide meaningful assistance to middle class families.</w:t>
      </w:r>
    </w:p>
    <w:p>
      <w:pPr>
        <w:spacing w:before="0" w:after="0" w:line="408" w:lineRule="exact"/>
        <w:ind w:left="0" w:right="0" w:firstLine="576"/>
        <w:jc w:val="left"/>
      </w:pPr>
      <w:r>
        <w:rPr/>
        <w:t xml:space="preserve">(10)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11 of this act.</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section 4 of this act.</w:t>
      </w:r>
    </w:p>
    <w:p>
      <w:pPr>
        <w:spacing w:before="0" w:after="0" w:line="408" w:lineRule="exact"/>
        <w:ind w:left="0" w:right="0" w:firstLine="576"/>
        <w:jc w:val="left"/>
      </w:pPr>
      <w:r>
        <w:rPr/>
        <w:t xml:space="preserve">(5) "Council" means the long-term services and supports trust council established in section 5 of this act.</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50A.04.010.</w:t>
      </w:r>
    </w:p>
    <w:p>
      <w:pPr>
        <w:spacing w:before="0" w:after="0" w:line="408" w:lineRule="exact"/>
        <w:ind w:left="0" w:right="0" w:firstLine="576"/>
        <w:jc w:val="left"/>
      </w:pPr>
      <w:r>
        <w:rPr/>
        <w:t xml:space="preserve">(8) "Employer" has the meaning provided in RCW 50A.04.010.</w:t>
      </w:r>
    </w:p>
    <w:p>
      <w:pPr>
        <w:spacing w:before="0" w:after="0" w:line="408" w:lineRule="exact"/>
        <w:ind w:left="0" w:right="0" w:firstLine="576"/>
        <w:jc w:val="left"/>
      </w:pPr>
      <w:r>
        <w:rPr/>
        <w:t xml:space="preserve">(9) "Employment" has the meaning provided in RCW 50A.04.010.</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section 9 of this act and paid to the employment security department for deposit in the account created in section 11 of this act.</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"Wages" has the meaning provided in RCW 50A.04.010, except that all wages are subject to a premium assessment and not limited by the commissioner of the employment security department, as provided under RCW 50A.04.115.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section 8 of this act;</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7 of this act;</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section 8 of this act;</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section 9 of this act;</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section 9 of this act in coordination with the same activities conducted under the family and medical leave act, chapter 50A.04 RCW, to the extent possible;</w:t>
      </w:r>
    </w:p>
    <w:p>
      <w:pPr>
        <w:spacing w:before="0" w:after="0" w:line="408" w:lineRule="exact"/>
        <w:ind w:left="0" w:right="0" w:firstLine="576"/>
        <w:jc w:val="left"/>
      </w:pPr>
      <w:r>
        <w:rPr/>
        <w:t xml:space="preserve">(d) Make determinations regarding an individual's status as a qualified individual under section 6 of this act;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section 9 of this act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section 9 of this act.</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6 of this act or an eligible beneficiary as established in section 7 of this act;</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sections 2 and 5 of this act;</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council is established. The council includes the members identified in section 4(2)(a) through (e) of this act and the director of the office of financial management, or the director's designee.</w:t>
      </w:r>
    </w:p>
    <w:p>
      <w:pPr>
        <w:spacing w:before="0" w:after="0" w:line="408" w:lineRule="exact"/>
        <w:ind w:left="0" w:right="0" w:firstLine="576"/>
        <w:jc w:val="left"/>
      </w:pPr>
      <w:r>
        <w:rPr/>
        <w:t xml:space="preserve">(2) On an annual basis, the council must determine adjustments to the benefit unit as provided in the definition of "benefit unit" in section 2 of this act to assure benefit adequacy and solvency of the long-term services and supports trust account established in section 11 of this act. In determining adjustments to the benefit unit, the council must review the state actuary's actuarial audit and valuation of the trust account, any recommendations by the state actuary and commission, data on relevant economic indicators and program costs, and sustainability.</w:t>
      </w:r>
    </w:p>
    <w:p>
      <w:pPr>
        <w:spacing w:before="0" w:after="0" w:line="408" w:lineRule="exact"/>
        <w:ind w:left="0" w:right="0" w:firstLine="576"/>
        <w:jc w:val="left"/>
      </w:pPr>
      <w:r>
        <w:rPr/>
        <w:t xml:space="preserve">(3) The director of the office of financial management, or the director's designee, shall serve as chair of the council. The council must meet at least once annually to determine adjustments to the benefit unit as defined in section 2 of this act. Additional meetings of the council are at the call of the chair. A majority of the voting members of the council shall constitute a quorum for any votes of the council. Approval of sixty percent of the members of the council who are in attendance is required for the passage of any vote. The council may adopt rules for the conduct of meetings, including provisions for meetings and voting to be conducted by telephonic, video, or other conferencing process.</w:t>
      </w:r>
    </w:p>
    <w:p>
      <w:pPr>
        <w:spacing w:before="0" w:after="0" w:line="408" w:lineRule="exact"/>
        <w:ind w:left="0" w:right="0" w:firstLine="576"/>
        <w:jc w:val="left"/>
      </w:pPr>
      <w:r>
        <w:rPr/>
        <w:t xml:space="preserve">(4) Members of the council must be compensated in accordance with RCW 43.03.250 and must be reimbursed for their travel expenses while on official business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deem a person to be a qualified individual as provided in this chapter if the person has paid the long-term services and supports premiums required by section 9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and each of the three years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forty-five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An eligible beneficiary may not receive more than the dollar equivalent of three hundred sixty-five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Benefits provided under this chapter shall be paid periodically and promptly to registered long-term services and supports providers.</w:t>
      </w:r>
    </w:p>
    <w:p>
      <w:pPr>
        <w:spacing w:before="0" w:after="0" w:line="408" w:lineRule="exact"/>
        <w:ind w:left="0" w:right="0" w:firstLine="576"/>
        <w:jc w:val="left"/>
      </w:pPr>
      <w:r>
        <w:rPr/>
        <w:t xml:space="preserve">(2)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section 11 of this act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chapter 50A.04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section 11 of this act.</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rPr/>
        <w:t xml:space="preserve">(8) An employee who demonstrates that the employee has long-term care insurance is exempt from the premium assessment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9 of this act.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section 6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section 2(8)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custody of the state treasurer. All receipts from employers under section 9 of this act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have the state investment board invest the funds in the account. The state investment board has the full power to invest, reinvest, manage, contract, sell, or exchange investment money in the account.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may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other than the investment policies as provided in subsections (1) through (3) of this section, resides with the department of social and health services acting in accordance with the principles set forth in this chapter. With the exception of expenses of the state investment board under subsection (1) of this section, disbursements from the account shall be made only on the authorization of the department of social and health services or its designee, and moneys in the account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department of social and health services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w:t>
      </w:r>
    </w:p>
    <w:p>
      <w:pPr>
        <w:spacing w:before="0" w:after="0" w:line="408" w:lineRule="exact"/>
        <w:ind w:left="0" w:right="0" w:firstLine="576"/>
        <w:jc w:val="left"/>
      </w:pPr>
      <w:r>
        <w:rPr/>
        <w:t xml:space="preserve">(1) Seek access to medicare data from the federal centers for medicare and medicaid services to analyze the potential savings in medicare expenditures due to the operation of the program;</w:t>
      </w:r>
    </w:p>
    <w:p>
      <w:pPr>
        <w:spacing w:before="0" w:after="0" w:line="408" w:lineRule="exact"/>
        <w:ind w:left="0" w:right="0" w:firstLine="576"/>
        <w:jc w:val="left"/>
      </w:pPr>
      <w:r>
        <w:rPr/>
        <w:t xml:space="preserve">(2) Apply for a demonstration waiver from the federal centers for medicare and medicaid services to allow for the state to share in the savings generated in the federal match for medicaid long-term services and supports and medicare due to the operation of the program;</w:t>
      </w:r>
    </w:p>
    <w:p>
      <w:pPr>
        <w:spacing w:before="0" w:after="0" w:line="408" w:lineRule="exact"/>
        <w:ind w:left="0" w:right="0" w:firstLine="576"/>
        <w:jc w:val="left"/>
      </w:pPr>
      <w:r>
        <w:rPr/>
        <w:t xml:space="preserve">(3) Submit a report, in compliance with RCW 43.01.036, on the status of the waiver to the office of financial management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December 1, 2026,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or resources for any determinations of eligibility for any other state program or benefit, for medicaid, for a state-federal program, or for any other means-tested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 entitlement for a person to receive, or requires a state agency to provide, case management services including, but not limited to, case management services under chapter 74.39A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December 1, 2032, the state auditor must conduct a comprehensive evaluation of the long-term services and supports trust program established in chapter 50B.--- RCW (the new chapter created in section 23 of this act) and deliver a report, including a conclusion and recommendations for improvement to the legislature regarding:</w:t>
      </w:r>
    </w:p>
    <w:p>
      <w:pPr>
        <w:spacing w:before="0" w:after="0" w:line="408" w:lineRule="exact"/>
        <w:ind w:left="0" w:right="0" w:firstLine="576"/>
        <w:jc w:val="left"/>
      </w:pPr>
      <w:r>
        <w:rPr/>
        <w:t xml:space="preserve">(1) Program operations, including the performance of the long-term services and supports trust commission established in section 4 of this act;</w:t>
      </w:r>
    </w:p>
    <w:p>
      <w:pPr>
        <w:spacing w:before="0" w:after="0" w:line="408" w:lineRule="exact"/>
        <w:ind w:left="0" w:right="0" w:firstLine="576"/>
        <w:jc w:val="left"/>
      </w:pPr>
      <w:r>
        <w:rPr/>
        <w:t xml:space="preserve">(2) Program financial status, including solvency, the value of the benefit provided, and the financial balance of program benefits to costs;</w:t>
      </w:r>
    </w:p>
    <w:p>
      <w:pPr>
        <w:spacing w:before="0" w:after="0" w:line="408" w:lineRule="exact"/>
        <w:ind w:left="0" w:right="0" w:firstLine="576"/>
        <w:jc w:val="left"/>
      </w:pPr>
      <w:r>
        <w:rPr/>
        <w:t xml:space="preserve">(3) The overall efficacy of the program, based on the established goals under this act including, but not limited to:</w:t>
      </w:r>
    </w:p>
    <w:p>
      <w:pPr>
        <w:spacing w:before="0" w:after="0" w:line="408" w:lineRule="exact"/>
        <w:ind w:left="0" w:right="0" w:firstLine="576"/>
        <w:jc w:val="left"/>
      </w:pPr>
      <w:r>
        <w:rPr/>
        <w:t xml:space="preserve">(a) Delaying middle class families' need to spend to poverty to receive medicaid-funded long-term care;</w:t>
      </w:r>
    </w:p>
    <w:p>
      <w:pPr>
        <w:spacing w:before="0" w:after="0" w:line="408" w:lineRule="exact"/>
        <w:ind w:left="0" w:right="0" w:firstLine="576"/>
        <w:jc w:val="left"/>
      </w:pPr>
      <w:r>
        <w:rPr/>
        <w:t xml:space="preserve">(b) Strengthening the state economy through improving workforce participation;</w:t>
      </w:r>
    </w:p>
    <w:p>
      <w:pPr>
        <w:spacing w:before="0" w:after="0" w:line="408" w:lineRule="exact"/>
        <w:ind w:left="0" w:right="0" w:firstLine="576"/>
        <w:jc w:val="left"/>
      </w:pPr>
      <w:r>
        <w:rPr/>
        <w:t xml:space="preserve">(c) Reducing the caseload and expenditures of the state medicaid program on long-term care; and</w:t>
      </w:r>
    </w:p>
    <w:p>
      <w:pPr>
        <w:spacing w:before="0" w:after="0" w:line="408" w:lineRule="exact"/>
        <w:ind w:left="0" w:right="0" w:firstLine="576"/>
        <w:jc w:val="left"/>
      </w:pPr>
      <w:r>
        <w:rPr/>
        <w:t xml:space="preserve">(d) Obtaining shared savings through a medicaid demonstration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2018 c 220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w:t>
      </w:r>
      <w:r>
        <w:t>((</w:t>
      </w:r>
      <w:r>
        <w:rPr>
          <w:strike/>
        </w:rPr>
        <w:t xml:space="preserve">his or her</w:t>
      </w:r>
      <w:r>
        <w:t>))</w:t>
      </w:r>
      <w:r>
        <w:rPr/>
        <w:t xml:space="preserve"> </w:t>
      </w:r>
      <w:r>
        <w:rPr>
          <w:u w:val="single"/>
        </w:rPr>
        <w:t xml:space="preserve">the person's</w:t>
      </w:r>
      <w:r>
        <w:rPr/>
        <w:t xml:space="preserve">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w:t>
      </w:r>
      <w:r>
        <w:rPr>
          <w:u w:val="single"/>
        </w:rPr>
        <w:t xml:space="preserve">A spouse or registered domestic partner who is a long-term care worker only for a spouse or domestic partner, pursuant to the long-term services and supports trust program established in chapter 50B.--- RCW (the new chapter created in section 23 of this act),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u w:val="single"/>
        </w:rPr>
        <w:t xml:space="preserve">(c)</w:t>
      </w:r>
      <w:r>
        <w:rPr/>
        <w:t xml:space="preserve">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Individual providers identified in </w:t>
      </w:r>
      <w:r>
        <w:t>((</w:t>
      </w:r>
      <w:r>
        <w:rPr>
          <w:strike/>
        </w:rPr>
        <w:t xml:space="preserve">(c)</w:t>
      </w:r>
      <w:r>
        <w:t>))</w:t>
      </w:r>
      <w:r>
        <w:rPr/>
        <w:t xml:space="preserve"> </w:t>
      </w:r>
      <w:r>
        <w:rPr>
          <w:u w:val="single"/>
        </w:rPr>
        <w:t xml:space="preserve">(d)</w:t>
      </w:r>
      <w:r>
        <w:rPr/>
        <w:t xml:space="preserve">(i)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w:t>
      </w:r>
      <w:r>
        <w:t>((</w:t>
      </w:r>
      <w:r>
        <w:rPr>
          <w:strike/>
        </w:rPr>
        <w:t xml:space="preserve">his or her</w:t>
      </w:r>
      <w:r>
        <w:t>))</w:t>
      </w:r>
      <w:r>
        <w:rPr/>
        <w:t xml:space="preserve"> </w:t>
      </w:r>
      <w:r>
        <w:rPr>
          <w:u w:val="single"/>
        </w:rPr>
        <w:t xml:space="preserve">the</w:t>
      </w:r>
      <w:r>
        <w:rPr/>
        <w:t xml:space="preserve"> training requirements in effect as of the date </w:t>
      </w:r>
      <w:r>
        <w:t>((</w:t>
      </w:r>
      <w:r>
        <w:rPr>
          <w:strike/>
        </w:rPr>
        <w:t xml:space="preserve">he or she</w:t>
      </w:r>
      <w:r>
        <w:t>))</w:t>
      </w:r>
      <w:r>
        <w:rPr/>
        <w:t xml:space="preserve"> </w:t>
      </w:r>
      <w:r>
        <w:rPr>
          <w:u w:val="single"/>
        </w:rPr>
        <w:t xml:space="preserve">the person</w:t>
      </w:r>
      <w:r>
        <w:rPr/>
        <w:t xml:space="preserv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w:t>
      </w:r>
      <w:r>
        <w:t>((</w:t>
      </w:r>
      <w:r>
        <w:rPr>
          <w:strike/>
        </w:rPr>
        <w:t xml:space="preserve">his or her</w:t>
      </w:r>
      <w:r>
        <w:t>))</w:t>
      </w:r>
      <w:r>
        <w:rPr/>
        <w:t xml:space="preserve"> </w:t>
      </w:r>
      <w:r>
        <w:rPr>
          <w:u w:val="single"/>
        </w:rPr>
        <w:t xml:space="preserve">the individual provider's</w:t>
      </w:r>
      <w:r>
        <w:rPr/>
        <w:t xml:space="preserve">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long-term care worker providing approved services only for a spouse or registered domestic partner, pursuant to the long-term services and supports trust program established in chapter 50B.--- RCW (the new chapter created in section 23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long-term services and supports trust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2011 1st sp.s. c 12 s 7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u w:val="single"/>
        </w:rPr>
        <w:t xml:space="preserve">(9) Provide actuarial assistance to the long-term services and supports trust commission pursuant to chapter 50B.--- RCW (the new chapter created in section 23 of this act). Reimbursement for services shall be made to the state actuary under RCW 39.34.130.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a new title to be codified as Title 50B RCW."</w:t>
      </w:r>
    </w:p>
    <w:p>
      <w:pPr>
        <w:spacing w:before="480" w:after="0" w:line="408" w:lineRule="exact"/>
      </w:pPr>
      <w:r>
        <w:rPr>
          <w:b/>
          <w:u w:val="single"/>
        </w:rPr>
        <w:t xml:space="preserve">2SHB 1087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4/16/19</w:t>
      </w:r>
    </w:p>
    <w:p>
      <w:pPr>
        <w:spacing w:before="0" w:after="0" w:line="408" w:lineRule="exact"/>
        <w:ind w:left="0" w:right="0" w:firstLine="576"/>
        <w:jc w:val="left"/>
      </w:pPr>
      <w:r>
        <w:rPr/>
        <w:t xml:space="preserve">On page 1, line 1 of the title, after "supports;" strike the remainder of the title and insert "amending RCW 74.39A.076, 18.88B.041, and 44.44.040; reenacting and amending RCW 43.79A.040; adding a new section to chapter 43.09 RCW; and adding a new title to the Revised Code of Washington to be codified as Title 50B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daf819e754d12" /></Relationships>
</file>