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244dcd5d845b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1109-S.E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SCHO</w:t>
        </w:r>
      </w:r>
      <w:r>
        <w:rPr>
          <w:b/>
        </w:rPr>
        <w:t xml:space="preserve"> </w:t>
        <w:r>
          <w:rPr/>
          <w:t xml:space="preserve">S3761.1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1109</w:t>
      </w:r>
      <w:r>
        <w:t xml:space="preserve"> -</w:t>
      </w:r>
      <w:r>
        <w:t xml:space="preserve"> </w:t>
        <w:t xml:space="preserve">S AMD TO WM COMM AMD (S-3636.2/19)</w:t>
      </w:r>
      <w:r>
        <w:t xml:space="preserve"> </w:t>
      </w:r>
      <w:r>
        <w:rPr>
          <w:b/>
        </w:rPr>
        <w:t xml:space="preserve">470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Schoesler</w:t>
      </w:r>
    </w:p>
    <w:p>
      <w:pPr>
        <w:jc w:val="right"/>
      </w:pPr>
      <w:r>
        <w:rPr>
          <w:b/>
        </w:rPr>
        <w:t xml:space="preserve">NOT ADOPTED 04/04/2019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line 22, decrease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2020 by $3,729,000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line 23, decrease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2021 by $364,000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line 28, correct the title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In line with the growth rate of higher education, the increase to the Governor's Office General Fund</w:t>
      </w:r>
      <w:r>
        <w:rPr>
          <w:rFonts w:ascii="Times New Roman" w:hAnsi="Times New Roman"/>
        </w:rPr>
        <w:t xml:space="preserve">—</w:t>
      </w:r>
      <w:r>
        <w:rPr/>
        <w:t xml:space="preserve">State is reduced to 9.2 percent.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IMPACT (2019-2021):</w:t>
      </w:r>
      <w:r>
        <w:rPr/>
        <w:t xml:space="preserve"> ($4,093,000)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State/($4,093,000) Total Funds</w:t>
      </w:r>
    </w:p>
    <w:p>
      <w:pPr>
        <w:spacing w:before="120" w:after="0" w:line="408" w:lineRule="exact"/>
        <w:ind w:left="0" w:right="0" w:firstLine="576"/>
        <w:jc w:val="left"/>
      </w:pPr>
      <w:r>
        <w:rPr>
          <w:u w:val="single"/>
        </w:rPr>
        <w:t xml:space="preserve">FOUR-YEAR OUTLOOK EFFECT:</w:t>
      </w:r>
      <w:r>
        <w:rPr/>
        <w:t xml:space="preserve"> ($4,093,000)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1ab596d2d4936" /></Relationships>
</file>