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c2c0341f414cdf" /></Relationships>
</file>

<file path=word/document.xml><?xml version="1.0" encoding="utf-8"?>
<w:document xmlns:w="http://schemas.openxmlformats.org/wordprocessingml/2006/main">
  <w:body>
    <w:p>
      <w:r>
        <w:rPr>
          <w:b/>
        </w:rPr>
        <w:r>
          <w:rPr/>
          <w:t xml:space="preserve">1154-S</w:t>
        </w:r>
      </w:r>
      <w:r>
        <w:rPr>
          <w:b/>
        </w:rPr>
        <w:t xml:space="preserve"> </w:t>
        <w:t xml:space="preserve">AMS</w:t>
      </w:r>
      <w:r>
        <w:rPr>
          <w:b/>
        </w:rPr>
        <w:t xml:space="preserve"> </w:t>
        <w:r>
          <w:rPr/>
          <w:t xml:space="preserve">FROC</w:t>
        </w:r>
      </w:r>
      <w:r>
        <w:rPr>
          <w:b/>
        </w:rPr>
        <w:t xml:space="preserve"> </w:t>
        <w:r>
          <w:rPr/>
          <w:t xml:space="preserve">S7678.2</w:t>
        </w:r>
      </w:r>
      <w:r>
        <w:rPr>
          <w:b/>
        </w:rPr>
        <w:t xml:space="preserve"> - NOT FOR FLOOR USE</w:t>
      </w:r>
    </w:p>
    <w:p>
      <w:pPr>
        <w:ind w:left="0" w:right="0" w:firstLine="576"/>
      </w:pPr>
    </w:p>
    <w:p>
      <w:pPr>
        <w:spacing w:before="480" w:after="0" w:line="408" w:lineRule="exact"/>
      </w:pPr>
      <w:r>
        <w:rPr>
          <w:b/>
          <w:u w:val="single"/>
        </w:rPr>
        <w:t xml:space="preserve">SHB 1154</w:t>
      </w:r>
      <w:r>
        <w:t xml:space="preserve"> -</w:t>
      </w:r>
      <w:r>
        <w:t xml:space="preserve"> </w:t>
        <w:t xml:space="preserve">S AMD</w:t>
      </w:r>
      <w:r>
        <w:t xml:space="preserve"> </w:t>
      </w:r>
      <w:r>
        <w:rPr>
          <w:b/>
        </w:rPr>
        <w:t xml:space="preserve">1378</w:t>
      </w:r>
    </w:p>
    <w:p>
      <w:pPr>
        <w:spacing w:before="0" w:after="0" w:line="408" w:lineRule="exact"/>
        <w:ind w:left="0" w:right="0" w:firstLine="576"/>
        <w:jc w:val="left"/>
      </w:pPr>
      <w:r>
        <w:rPr/>
        <w:t xml:space="preserve">By Senator Frockt</w:t>
      </w:r>
    </w:p>
    <w:p>
      <w:pPr>
        <w:jc w:val="right"/>
      </w:pPr>
      <w:r>
        <w:rPr>
          <w:b/>
        </w:rPr>
        <w:t xml:space="preserve">ADOPTED 03/12/2020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office of Chehalis basin, established in RCW 43.21A.730, is faithfully carrying out one of the prime directives of legislative intent from chapter 194, Laws of 2016, by drafting a strategic plan and accompanying environmental assessments, as the legislation called for a Chehalis basin strategy that "must include an implementation schedule and quantified measures for evaluating the success of implementation."</w:t>
      </w:r>
    </w:p>
    <w:p>
      <w:pPr>
        <w:spacing w:before="0" w:after="0" w:line="408" w:lineRule="exact"/>
        <w:ind w:left="0" w:right="0" w:firstLine="576"/>
        <w:jc w:val="left"/>
      </w:pPr>
      <w:r>
        <w:rPr/>
        <w:t xml:space="preserve">(2) The legislature also finds that the office of Chehalis basin has been successful in its initial work to secure both state and federal funds for projects in the near term. However, specificity is needed for consideration of the long-term funding needs.</w:t>
      </w:r>
    </w:p>
    <w:p>
      <w:pPr>
        <w:spacing w:before="0" w:after="0" w:line="408" w:lineRule="exact"/>
        <w:ind w:left="0" w:right="0" w:firstLine="576"/>
        <w:jc w:val="left"/>
      </w:pPr>
      <w:r>
        <w:rPr/>
        <w:t xml:space="preserve">(3) In enacted appropriations to date, the legislature has provided significant funding for projects of the office of Chehalis basin, and it is the intent of the legislature to continue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office of Chehalis basin shall, based on the anticipation of completing the strategic plan with an implementation schedule, submit agency decision packages in preparation for the 2021-2023 fiscal biennium omnibus capital appropriations act, with a report of out-biennia detail, containing:</w:t>
      </w:r>
    </w:p>
    <w:p>
      <w:pPr>
        <w:spacing w:before="0" w:after="0" w:line="408" w:lineRule="exact"/>
        <w:ind w:left="0" w:right="0" w:firstLine="576"/>
        <w:jc w:val="left"/>
      </w:pPr>
      <w:r>
        <w:rPr/>
        <w:t xml:space="preserve">(a) A specific list of projects;</w:t>
      </w:r>
    </w:p>
    <w:p>
      <w:pPr>
        <w:spacing w:before="0" w:after="0" w:line="408" w:lineRule="exact"/>
        <w:ind w:left="0" w:right="0" w:firstLine="576"/>
        <w:jc w:val="left"/>
      </w:pPr>
      <w:r>
        <w:rPr/>
        <w:t xml:space="preserve">(b) Project costs and suggested fund sources;</w:t>
      </w:r>
    </w:p>
    <w:p>
      <w:pPr>
        <w:spacing w:before="0" w:after="0" w:line="408" w:lineRule="exact"/>
        <w:ind w:left="0" w:right="0" w:firstLine="576"/>
        <w:jc w:val="left"/>
      </w:pPr>
      <w:r>
        <w:rPr/>
        <w:t xml:space="preserve">(c) Location information; and</w:t>
      </w:r>
    </w:p>
    <w:p>
      <w:pPr>
        <w:spacing w:before="0" w:after="0" w:line="408" w:lineRule="exact"/>
        <w:ind w:left="0" w:right="0" w:firstLine="576"/>
        <w:jc w:val="left"/>
      </w:pPr>
      <w:r>
        <w:rPr/>
        <w:t xml:space="preserve">(d) A time frame, including initiation and completion.</w:t>
      </w:r>
    </w:p>
    <w:p>
      <w:pPr>
        <w:spacing w:before="0" w:after="0" w:line="408" w:lineRule="exact"/>
        <w:ind w:left="0" w:right="0" w:firstLine="576"/>
        <w:jc w:val="left"/>
      </w:pPr>
      <w:r>
        <w:rPr/>
        <w:t xml:space="preserve">(2) The total cost for all submitted projects are expected to be consistent with biennial amounts of prior requests, which were fifty million dollars in state bonds in 2017-2019 and seventy-three million two hundred thousand dollars in 2019-2021 in state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The office of Chehalis basin shall submit a report by January 1, 2021, to the legislature that meets the requirement of a finalized strategic plan containing an implementation schedule and quantified measures for evaluating the success of implementation, and the appropriate policy and fiscal committees of the legislature shall, within one hundred twenty days of the receipt, conduct a joint hearing for the purposes of: (1) Receiving a report from the office of Chehalis basin; and (2) considering potential funding strategies to achieve the implementation schedule.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The Chehalis basin taxable account is created in the state treasury. All receipts from the proceeds of taxable bonds for the office of Chehalis basin, as well as other moneys directed to the account, must be deposited in the account. Interest earned by deposits in the account will be retained in the account. Moneys in the account may be spent only after appropriation. Expenditures from the account may be used only for the purposes set out in RCW 43.21A.730 and for the payment of expenses incurred in the issuance and sale of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w:t>
      </w:r>
      <w:r>
        <w:rPr>
          <w:u w:val="single"/>
        </w:rPr>
        <w:t xml:space="preserve">the Chehalis basin taxable account,</w:t>
      </w:r>
      <w:r>
        <w:rPr/>
        <w:t xml:space="preserve">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80" w:after="0" w:line="408" w:lineRule="exact"/>
      </w:pPr>
      <w:r>
        <w:rPr>
          <w:b/>
          <w:u w:val="single"/>
        </w:rPr>
        <w:t xml:space="preserve">SHB 1154</w:t>
      </w:r>
      <w:r>
        <w:t xml:space="preserve"> -</w:t>
      </w:r>
      <w:r>
        <w:t xml:space="preserve"> </w:t>
        <w:t xml:space="preserve">S AMD</w:t>
      </w:r>
      <w:r>
        <w:t xml:space="preserve"> </w:t>
      </w:r>
      <w:r>
        <w:rPr>
          <w:b/>
        </w:rPr>
        <w:t xml:space="preserve">1378</w:t>
      </w:r>
    </w:p>
    <w:p>
      <w:pPr>
        <w:spacing w:before="0" w:after="0" w:line="408" w:lineRule="exact"/>
        <w:ind w:left="0" w:right="0" w:firstLine="576"/>
        <w:jc w:val="left"/>
      </w:pPr>
      <w:r>
        <w:rPr/>
        <w:t xml:space="preserve">By Senator Frockt</w:t>
      </w:r>
    </w:p>
    <w:p>
      <w:pPr>
        <w:jc w:val="right"/>
      </w:pPr>
      <w:r>
        <w:rPr>
          <w:b/>
        </w:rPr>
        <w:t xml:space="preserve">ADOPTED 03/12/2020</w:t>
      </w:r>
    </w:p>
    <w:p>
      <w:pPr>
        <w:spacing w:before="0" w:after="0" w:line="408" w:lineRule="exact"/>
        <w:ind w:left="0" w:right="0" w:firstLine="576"/>
        <w:jc w:val="left"/>
      </w:pPr>
      <w:r>
        <w:rPr/>
        <w:t xml:space="preserve">On page 1, line 2 of the title, after "projects;" strike the remainder of the title and insert "reenacting and amending RCW 43.84.092; adding new sections to chapter 43.21A RCW; and creating a new section."</w:t>
      </w:r>
    </w:p>
    <w:p>
      <w:pPr>
        <w:spacing w:before="0" w:after="0" w:line="408" w:lineRule="exact"/>
        <w:ind w:left="0" w:right="0" w:firstLine="576"/>
        <w:jc w:val="left"/>
      </w:pPr>
      <w:r>
        <w:rPr>
          <w:u w:val="single"/>
        </w:rPr>
        <w:t xml:space="preserve">EFFECT:</w:t>
      </w:r>
      <w:r>
        <w:rPr/>
        <w:t xml:space="preserve"> Removes the provisions for bond authorization and provides direction to the Office of Chehalis Basin to develop a project list with certain information requirements and submit a report containing a finalized strategic plan with an implementation schedule. Specifies the legislative intent to review the report by joint committee. Creates the Chehalis Basin Taxable Account in the Treasury. The effect of the second Senate amendment is to clarify legislative intent to continue providing significant funding to the Office of Chehalis Basin, and sets the expectation that future funding requests will be consistent with amounts of previous requests.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e6aa12073b4c93" /></Relationships>
</file>