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1aa4ca7a245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S4156.1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1394</w:t>
      </w:r>
      <w:r>
        <w:t xml:space="preserve"> -</w:t>
      </w:r>
      <w:r>
        <w:t xml:space="preserve"> </w:t>
        <w:t xml:space="preserve">S AMD TO WM COMM AMD (S-3941.1/19)</w:t>
      </w:r>
      <w:r>
        <w:t xml:space="preserve"> </w:t>
      </w:r>
      <w:r>
        <w:rPr>
          <w:b/>
        </w:rPr>
        <w:t xml:space="preserve">652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23, after "beds," insert "</w:t>
      </w:r>
      <w:r>
        <w:rPr>
          <w:u w:val="single"/>
        </w:rPr>
        <w:t xml:space="preserve">and for the one-time addition of up to sixty psychiatric beds devoted solely to ninety-day and one hundred eighty-day civil commitment patients if the hospital was awarded any grant by the department of commerce to increase behavioral health capacity in fiscal year 2019 and makes a commitment to maintain a payer mix of at least fifty percent medicare and medicaid based on a calculation using patient days for a period of five consecutive years after the beds are made available for use by patients,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extension of certificate of need authority allowing a private psychiatric hospital to add up to 30 psychiatric beds until June 30, 2021, to allow a one-time addition of up to 60 psychiatric beds devoted solely to 90-day and 180-day involuntary patients if the hospital is awarded a grant by the Department of Commerce in FY 2019 and makes a commitment to maintain a payer mix of at least 50 percent Medicare and Medicaid based on a calculation using patient days for at least five consecutive years after the beds are made available.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7fc6039264809" /></Relationships>
</file>