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420cfd1a749de" /></Relationships>
</file>

<file path=word/document.xml><?xml version="1.0" encoding="utf-8"?>
<w:document xmlns:w="http://schemas.openxmlformats.org/wordprocessingml/2006/main">
  <w:body>
    <w:p>
      <w:r>
        <w:rPr>
          <w:b/>
        </w:rPr>
        <w:r>
          <w:rPr/>
          <w:t xml:space="preserve">1444-S2</w:t>
        </w:r>
      </w:r>
      <w:r>
        <w:rPr>
          <w:b/>
        </w:rPr>
        <w:t xml:space="preserve"> </w:t>
        <w:t xml:space="preserve">AMS</w:t>
      </w:r>
      <w:r>
        <w:rPr>
          <w:b/>
        </w:rPr>
        <w:t xml:space="preserve"> </w:t>
        <w:r>
          <w:rPr/>
          <w:t xml:space="preserve">ENET</w:t>
        </w:r>
      </w:r>
      <w:r>
        <w:rPr>
          <w:b/>
        </w:rPr>
        <w:t xml:space="preserve"> </w:t>
        <w:r>
          <w:rPr/>
          <w:t xml:space="preserve">S3188.2</w:t>
        </w:r>
      </w:r>
      <w:r>
        <w:rPr>
          <w:b/>
        </w:rPr>
        <w:t xml:space="preserve"> - NOT FOR FLOOR USE</w:t>
      </w:r>
    </w:p>
    <w:p>
      <w:pPr>
        <w:ind w:left="0" w:right="0" w:firstLine="576"/>
      </w:pPr>
      <w:r>
        <w:rPr/>
        <w:t xml:space="preserve"> </w:t>
      </w:r>
    </w:p>
    <w:p>
      <w:pPr>
        <w:spacing w:before="480" w:after="0" w:line="408" w:lineRule="exact"/>
      </w:pPr>
      <w:r>
        <w:rPr>
          <w:b/>
          <w:u w:val="single"/>
        </w:rPr>
        <w:t xml:space="preserve">2SHB 1444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appliance standards and design requirements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0" w:after="0" w:line="408" w:lineRule="exact"/>
        <w:ind w:left="0" w:right="0" w:firstLine="576"/>
        <w:jc w:val="left"/>
      </w:pPr>
      <w:r>
        <w:rPr>
          <w:u w:val="single"/>
        </w:rPr>
        <w:t xml:space="preserve">(5) Help ensure renters have the same access to energy efficient appliances as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 "Showerhead" means a device through which water is discharged for a shower bath.</w:t>
      </w:r>
    </w:p>
    <w:p>
      <w:pPr>
        <w:spacing w:before="0" w:after="0" w:line="408" w:lineRule="exact"/>
        <w:ind w:left="0" w:right="0" w:firstLine="576"/>
        <w:jc w:val="left"/>
      </w:pPr>
      <w:r>
        <w:rPr>
          <w:strike/>
        </w:rPr>
        <w:t xml:space="preserve">(20)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 "Tub spout diverter" means a device designed to stop the flow of water into a bathtub and to divert it so that the water discharges through a showerhead.</w:t>
      </w:r>
    </w:p>
    <w:p>
      <w:pPr>
        <w:spacing w:before="0" w:after="0" w:line="408" w:lineRule="exact"/>
        <w:ind w:left="0" w:right="0" w:firstLine="576"/>
        <w:jc w:val="left"/>
      </w:pPr>
      <w:r>
        <w:rPr>
          <w:strike/>
        </w:rPr>
        <w:t xml:space="preserve">(23) "Wine chillers designed and sold for use by an individual" means refrigerators designed and sold for the cooling and storage of wine by an individual.</w:t>
      </w:r>
      <w:r>
        <w:t>))</w:t>
      </w:r>
    </w:p>
    <w:p>
      <w:pPr>
        <w:spacing w:before="0" w:after="0" w:line="408" w:lineRule="exact"/>
        <w:ind w:left="0" w:right="0" w:firstLine="576"/>
        <w:jc w:val="left"/>
      </w:pPr>
      <w:r>
        <w:rPr>
          <w:u w:val="single"/>
        </w:rPr>
        <w:t xml:space="preserve">(13)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(14)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(15)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(16)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u w:val="single"/>
        </w:rPr>
        <w:t xml:space="preserve">(17)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(18)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(19)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(20)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(21)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rPr>
          <w:u w:val="single"/>
        </w:rPr>
        <w:t xml:space="preserve">(22)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rPr>
          <w:u w:val="single"/>
        </w:rPr>
        <w:t xml:space="preserve">(23)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(24)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(25)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(26) "Pressure regulator" means a device that maintains constant operating pressure immediately downstream from the device, given higher pressure upstream.</w:t>
      </w:r>
    </w:p>
    <w:p>
      <w:pPr>
        <w:spacing w:before="0" w:after="0" w:line="408" w:lineRule="exact"/>
        <w:ind w:left="0" w:right="0" w:firstLine="576"/>
        <w:jc w:val="left"/>
      </w:pPr>
      <w:r>
        <w:rPr>
          <w:u w:val="single"/>
        </w:rPr>
        <w:t xml:space="preserve">(27) "ANSI" means the American national standards institute.</w:t>
      </w:r>
    </w:p>
    <w:p>
      <w:pPr>
        <w:spacing w:before="0" w:after="0" w:line="408" w:lineRule="exact"/>
        <w:ind w:left="0" w:right="0" w:firstLine="576"/>
        <w:jc w:val="left"/>
      </w:pPr>
      <w:r>
        <w:rPr>
          <w:u w:val="single"/>
        </w:rPr>
        <w:t xml:space="preserve">(28) "CTA" means the consumer technology association.</w:t>
      </w:r>
    </w:p>
    <w:p>
      <w:pPr>
        <w:spacing w:before="0" w:after="0" w:line="408" w:lineRule="exact"/>
        <w:ind w:left="0" w:right="0" w:firstLine="576"/>
        <w:jc w:val="left"/>
      </w:pPr>
      <w:r>
        <w:rPr>
          <w:u w:val="single"/>
        </w:rPr>
        <w:t xml:space="preserve">(29)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 Wine chillers designed and sold for use by an individual;</w:t>
      </w:r>
    </w:p>
    <w:p>
      <w:pPr>
        <w:spacing w:before="0" w:after="0" w:line="408" w:lineRule="exact"/>
        <w:ind w:left="0" w:right="0" w:firstLine="576"/>
        <w:jc w:val="left"/>
      </w:pPr>
      <w:r>
        <w:rPr>
          <w:strike/>
        </w:rPr>
        <w:t xml:space="preserve">(e)</w:t>
      </w:r>
      <w:r>
        <w:t>))</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(e)</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(f) Air compressors;</w:t>
      </w:r>
    </w:p>
    <w:p>
      <w:pPr>
        <w:spacing w:before="0" w:after="0" w:line="408" w:lineRule="exact"/>
        <w:ind w:left="0" w:right="0" w:firstLine="576"/>
        <w:jc w:val="left"/>
      </w:pPr>
      <w:r>
        <w:rPr>
          <w:u w:val="single"/>
        </w:rPr>
        <w:t xml:space="preserve">(g) Commercial fryers, commercial dishwashers, and commercial steam cookers;</w:t>
      </w:r>
    </w:p>
    <w:p>
      <w:pPr>
        <w:spacing w:before="0" w:after="0" w:line="408" w:lineRule="exact"/>
        <w:ind w:left="0" w:right="0" w:firstLine="576"/>
        <w:jc w:val="left"/>
      </w:pPr>
      <w:r>
        <w:rPr>
          <w:u w:val="single"/>
        </w:rPr>
        <w:t xml:space="preserve">(h) Computers and computer monitors;</w:t>
      </w:r>
    </w:p>
    <w:p>
      <w:pPr>
        <w:spacing w:before="0" w:after="0" w:line="408" w:lineRule="exact"/>
        <w:ind w:left="0" w:right="0" w:firstLine="576"/>
        <w:jc w:val="left"/>
      </w:pPr>
      <w:r>
        <w:rPr>
          <w:u w:val="single"/>
        </w:rPr>
        <w:t xml:space="preserve">(i) Faucets;</w:t>
      </w:r>
    </w:p>
    <w:p>
      <w:pPr>
        <w:spacing w:before="0" w:after="0" w:line="408" w:lineRule="exact"/>
        <w:ind w:left="0" w:right="0" w:firstLine="576"/>
        <w:jc w:val="left"/>
      </w:pPr>
      <w:r>
        <w:rPr>
          <w:u w:val="single"/>
        </w:rPr>
        <w:t xml:space="preserve">(j) High CRI fluorescent lamps;</w:t>
      </w:r>
    </w:p>
    <w:p>
      <w:pPr>
        <w:spacing w:before="0" w:after="0" w:line="408" w:lineRule="exact"/>
        <w:ind w:left="0" w:right="0" w:firstLine="576"/>
        <w:jc w:val="left"/>
      </w:pPr>
      <w:r>
        <w:rPr>
          <w:u w:val="single"/>
        </w:rPr>
        <w:t xml:space="preserve">(k) Portable air conditioners;</w:t>
      </w:r>
    </w:p>
    <w:p>
      <w:pPr>
        <w:spacing w:before="0" w:after="0" w:line="408" w:lineRule="exact"/>
        <w:ind w:left="0" w:right="0" w:firstLine="576"/>
        <w:jc w:val="left"/>
      </w:pPr>
      <w:r>
        <w:rPr>
          <w:u w:val="single"/>
        </w:rPr>
        <w:t xml:space="preserve">(l) Residential ventilating fans;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Spray sprinkler bodies;</w:t>
      </w:r>
    </w:p>
    <w:p>
      <w:pPr>
        <w:spacing w:before="0" w:after="0" w:line="408" w:lineRule="exact"/>
        <w:ind w:left="0" w:right="0" w:firstLine="576"/>
        <w:jc w:val="left"/>
      </w:pPr>
      <w:r>
        <w:rPr>
          <w:u w:val="single"/>
        </w:rPr>
        <w:t xml:space="preserve">(o) Uninterruptible power supplies;</w:t>
      </w:r>
    </w:p>
    <w:p>
      <w:pPr>
        <w:spacing w:before="0" w:after="0" w:line="408" w:lineRule="exact"/>
        <w:ind w:left="0" w:right="0" w:firstLine="576"/>
        <w:jc w:val="left"/>
      </w:pPr>
      <w:r>
        <w:rPr>
          <w:u w:val="single"/>
        </w:rPr>
        <w:t xml:space="preserve">(p) Urinals and water closets;</w:t>
      </w:r>
    </w:p>
    <w:p>
      <w:pPr>
        <w:spacing w:before="0" w:after="0" w:line="408" w:lineRule="exact"/>
        <w:ind w:left="0" w:right="0" w:firstLine="576"/>
        <w:jc w:val="left"/>
      </w:pPr>
      <w:r>
        <w:rPr>
          <w:u w:val="single"/>
        </w:rPr>
        <w:t xml:space="preserve">(q) Water coolers;</w:t>
      </w:r>
    </w:p>
    <w:p>
      <w:pPr>
        <w:spacing w:before="0" w:after="0" w:line="408" w:lineRule="exact"/>
        <w:ind w:left="0" w:right="0" w:firstLine="576"/>
        <w:jc w:val="left"/>
      </w:pPr>
      <w:r>
        <w:rPr>
          <w:u w:val="single"/>
        </w:rPr>
        <w:t xml:space="preserve">(r) General service lamps; and</w:t>
      </w:r>
    </w:p>
    <w:p>
      <w:pPr>
        <w:spacing w:before="0" w:after="0" w:line="408" w:lineRule="exact"/>
        <w:ind w:left="0" w:right="0" w:firstLine="576"/>
        <w:jc w:val="left"/>
      </w:pPr>
      <w:r>
        <w:rPr>
          <w:u w:val="single"/>
        </w:rPr>
        <w:t xml:space="preserve">(s) Electric storage water heaters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u w:val="single"/>
        </w:rPr>
        <w:t xml:space="preserve">Except as provided in subsection (1) of this section, t</w:t>
      </w:r>
      <w:r>
        <w:rPr/>
        <w:t xml:space="preserve">he minimum efficiency standards specified in this section apply to the types of new products set forth in RCW 19.260.030 </w:t>
      </w:r>
      <w:r>
        <w:rPr>
          <w:u w:val="single"/>
        </w:rPr>
        <w:t xml:space="preserve">as of the effective dates set forth in RCW 19.260.050</w:t>
      </w:r>
      <w:r>
        <w:rPr/>
        <w:t xml:space="preserve">.</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&lt;500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˃=500&lt;1436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&lt;1000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&lt;934</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&lt;200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&lt;175</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0.10V+ 2.04</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0.40V+ 1.38</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strike/>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strike/>
        </w:rPr>
        <w:t xml:space="preserve">(5)</w:t>
      </w:r>
      <w:r>
        <w:t>))</w:t>
      </w:r>
      <w:r>
        <w:rPr/>
        <w:t xml:space="preserve"> </w:t>
      </w:r>
      <w:r>
        <w:rPr>
          <w:u w:val="single"/>
        </w:rPr>
        <w:t xml:space="preserve">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w:t>
      </w:r>
      <w:r>
        <w:rPr>
          <w:u w:val="single"/>
        </w:rPr>
        <w:t xml:space="preserve">s</w:t>
      </w:r>
      <w:r>
        <w:rPr/>
        <w:t xml:space="preserve"> </w:t>
      </w:r>
      <w:r>
        <w:t>((</w:t>
      </w:r>
      <w:r>
        <w:rPr>
          <w:strike/>
        </w:rPr>
        <w:t xml:space="preserve">motors</w:t>
      </w:r>
      <w:r>
        <w:t>))</w:t>
      </w:r>
      <w:r>
        <w:rPr/>
        <w:t xml:space="preserve"> manufactured on or after January 1, 2010, </w:t>
      </w:r>
      <w:r>
        <w:rPr>
          <w:u w:val="single"/>
        </w:rPr>
        <w:t xml:space="preserve">and until July 18, 2021,</w:t>
      </w:r>
      <w:r>
        <w:rPr/>
        <w:t xml:space="preserve"> must meet requirements specified in the California Code of Regulations, Title 20, section 1605.3 in effect as of July 26, 2009. </w:t>
      </w:r>
      <w:r>
        <w:rPr>
          <w:u w:val="single"/>
        </w:rPr>
        <w:t xml:space="preserve">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60" w:type="dxa"/>
            <w:vAlign w:val="top"/>
            <w:tcMar>
              <w:left w:w="120"/>
            </w:tcMar>
            <w:tcMar>
              <w:right w:w="120"/>
            </w:tcMar>
            <w:tcMar>
              <w:top w:w="40"/>
            </w:tcMar>
            <w:tcMar>
              <w:bottom w:w="40"/>
            </w:tcMar>
          </w:tcPr>
          <w:p>
            <w:pPr>
              <w:spacing w:before="0" w:after="0" w:line="408" w:lineRule="exact"/>
              <w:ind w:left="0" w:right="0" w:firstLine="0"/>
              <w:jc w:val="left"/>
            </w:pPr>
          </w:p>
        </w:tc>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Leakage Rate</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Appliance</w:t>
            </w:r>
          </w:p>
        </w:tc>
        <w:tc>
          <w:tcPr>
            <w:tcW w:w="33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Testing Conditions</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Effective January 1, 2009</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When new</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0.01 gpm</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Tub spout diverters</w:t>
            </w: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After 15,000 cycles of diverting</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0.05 gpm</w:t>
            </w:r>
          </w:p>
        </w:tc>
      </w:tr>
    </w:tbl>
    <w:p>
      <w:pPr>
        <w:spacing w:before="120" w:after="0" w:line="408" w:lineRule="exact"/>
        <w:ind w:left="0" w:right="0" w:firstLine="576"/>
        <w:jc w:val="left"/>
      </w:pPr>
      <w:r>
        <w:rPr>
          <w:strike/>
        </w:rPr>
        <w:t xml:space="preserve">(b) Showerhead tub spout diverter combinations shall meet both the federal standard for showerheads established pursuant to 42 U.S.C. Sec. 6291 et seq. and the standard for tub spout diverters specified in this section.</w:t>
      </w:r>
    </w:p>
    <w:p>
      <w:pPr>
        <w:spacing w:before="0" w:after="0" w:line="408" w:lineRule="exact"/>
        <w:ind w:left="0" w:right="0" w:firstLine="576"/>
        <w:jc w:val="left"/>
      </w:pPr>
      <w:r>
        <w:rPr>
          <w:strike/>
        </w:rPr>
        <w:t xml:space="preserve">(9)</w:t>
      </w:r>
      <w:r>
        <w:t>))</w:t>
      </w:r>
      <w:r>
        <w:rPr/>
        <w:t xml:space="preserve"> </w:t>
      </w:r>
      <w:r>
        <w:rPr>
          <w:u w:val="single"/>
        </w:rPr>
        <w:t xml:space="preserve">(5)</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(6)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(7)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(8)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(9)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(10)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(11)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(12)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(13)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(14)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(15) The following products that are within the scope and definition of the applicable regulation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(a) Showerheads;</w:t>
      </w:r>
    </w:p>
    <w:p>
      <w:pPr>
        <w:spacing w:before="0" w:after="0" w:line="408" w:lineRule="exact"/>
        <w:ind w:left="0" w:right="0" w:firstLine="576"/>
        <w:jc w:val="left"/>
      </w:pPr>
      <w:r>
        <w:rPr>
          <w:u w:val="single"/>
        </w:rPr>
        <w:t xml:space="preserve">(b) Tub spout diverters;</w:t>
      </w:r>
    </w:p>
    <w:p>
      <w:pPr>
        <w:spacing w:before="0" w:after="0" w:line="408" w:lineRule="exact"/>
        <w:ind w:left="0" w:right="0" w:firstLine="576"/>
        <w:jc w:val="left"/>
      </w:pPr>
      <w:r>
        <w:rPr>
          <w:u w:val="single"/>
        </w:rPr>
        <w:t xml:space="preserve">(c) Showerhead tub spout diverter combinations;</w:t>
      </w:r>
    </w:p>
    <w:p>
      <w:pPr>
        <w:spacing w:before="0" w:after="0" w:line="408" w:lineRule="exact"/>
        <w:ind w:left="0" w:right="0" w:firstLine="576"/>
        <w:jc w:val="left"/>
      </w:pPr>
      <w:r>
        <w:rPr>
          <w:u w:val="single"/>
        </w:rPr>
        <w:t xml:space="preserve">(d) Lavatory faucets and replacement aerators;</w:t>
      </w:r>
    </w:p>
    <w:p>
      <w:pPr>
        <w:spacing w:before="0" w:after="0" w:line="408" w:lineRule="exact"/>
        <w:ind w:left="0" w:right="0" w:firstLine="576"/>
        <w:jc w:val="left"/>
      </w:pPr>
      <w:r>
        <w:rPr>
          <w:u w:val="single"/>
        </w:rPr>
        <w:t xml:space="preserve">(e) Kitchen faucets and replacement aerators;</w:t>
      </w:r>
    </w:p>
    <w:p>
      <w:pPr>
        <w:spacing w:before="0" w:after="0" w:line="408" w:lineRule="exact"/>
        <w:ind w:left="0" w:right="0" w:firstLine="576"/>
        <w:jc w:val="left"/>
      </w:pPr>
      <w:r>
        <w:rPr>
          <w:u w:val="single"/>
        </w:rPr>
        <w:t xml:space="preserve">(f) Public lavatory faucets and replacement aerators;</w:t>
      </w:r>
    </w:p>
    <w:p>
      <w:pPr>
        <w:spacing w:before="0" w:after="0" w:line="408" w:lineRule="exact"/>
        <w:ind w:left="0" w:right="0" w:firstLine="576"/>
        <w:jc w:val="left"/>
      </w:pPr>
      <w:r>
        <w:rPr>
          <w:u w:val="single"/>
        </w:rPr>
        <w:t xml:space="preserve">(g) Urinals; and</w:t>
      </w:r>
    </w:p>
    <w:p>
      <w:pPr>
        <w:spacing w:before="0" w:after="0" w:line="408" w:lineRule="exact"/>
        <w:ind w:left="0" w:right="0" w:firstLine="576"/>
        <w:jc w:val="left"/>
      </w:pPr>
      <w:r>
        <w:rPr>
          <w:u w:val="single"/>
        </w:rPr>
        <w:t xml:space="preserve">(h) Water closets.</w:t>
      </w:r>
    </w:p>
    <w:p>
      <w:pPr>
        <w:spacing w:before="0" w:after="0" w:line="408" w:lineRule="exact"/>
        <w:ind w:left="0" w:right="0" w:firstLine="576"/>
        <w:jc w:val="left"/>
      </w:pPr>
      <w:r>
        <w:rPr>
          <w:u w:val="single"/>
        </w:rPr>
        <w:t xml:space="preserve">(16)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(17)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(18) General service lamps must meet or exceed a lamp efficacy of 45 lumens per watt, when tested in accordance with the applicable federal test procedures for general service lamps prescribed in 10 C.F.R. Sec. 430.23 in effect as of January 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260</w:t>
      </w:r>
      <w:r>
        <w:rPr/>
        <w:t xml:space="preserve"> RCW</w:t>
      </w:r>
      <w:r>
        <w:rPr/>
        <w:t xml:space="preserve"> to read as follows:</w:t>
      </w:r>
    </w:p>
    <w:p>
      <w:pPr>
        <w:spacing w:before="0" w:after="0" w:line="408" w:lineRule="exact"/>
        <w:ind w:left="0" w:right="0" w:firstLine="576"/>
        <w:jc w:val="left"/>
      </w:pPr>
      <w:r>
        <w:rPr/>
        <w:t xml:space="preserve">(1) An electric storage water heater, if manufactured on or after January 1, 2021, may not be installed, sold, or offered for sale, lease, or rent in the state unless it complies with the following design requirement:</w:t>
      </w:r>
    </w:p>
    <w:p>
      <w:pPr>
        <w:spacing w:before="0" w:after="0" w:line="408" w:lineRule="exact"/>
        <w:ind w:left="0" w:right="0" w:firstLine="576"/>
        <w:jc w:val="left"/>
      </w:pPr>
      <w:r>
        <w:rPr/>
        <w:t xml:space="preserve">(a) The product must have a modular demand response communications port compliant with: (i) The March 2018 version of the ANSI/CTA–2045-A communication interface standard, or equivalent and (ii) the March 2018 version of the ANSI/CTA-2045-A application layer requirements.</w:t>
      </w:r>
    </w:p>
    <w:p>
      <w:pPr>
        <w:spacing w:before="0" w:after="0" w:line="408" w:lineRule="exact"/>
        <w:ind w:left="0" w:right="0" w:firstLine="576"/>
        <w:jc w:val="left"/>
      </w:pPr>
      <w:r>
        <w:rPr/>
        <w:t xml:space="preserve">(b) The interface standard and application layer requirements required in this subsection are the versions established in March 2018, unless the department adopts by rule a later version.</w:t>
      </w:r>
    </w:p>
    <w:p>
      <w:pPr>
        <w:spacing w:before="0" w:after="0" w:line="408" w:lineRule="exact"/>
        <w:ind w:left="0" w:right="0" w:firstLine="576"/>
        <w:jc w:val="left"/>
      </w:pPr>
      <w:r>
        <w:rPr/>
        <w:t xml:space="preserve">(2) The department may by rule establish a later effective date or suspend enforcement of the requirements of subsection (1) of this section if the department determines that such a delay or suspension is in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w:t>
      </w:r>
      <w:r>
        <w:t>((</w:t>
      </w:r>
      <w:r>
        <w:rPr>
          <w:strike/>
        </w:rPr>
        <w:t xml:space="preserve">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strike/>
        </w:rPr>
        <w:t xml:space="preserve">(4)</w:t>
      </w:r>
      <w:r>
        <w:t>))</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rPr>
          <w:u w:val="single"/>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Commercial dishwashers;</w:t>
      </w:r>
    </w:p>
    <w:p>
      <w:pPr>
        <w:spacing w:before="0" w:after="0" w:line="408" w:lineRule="exact"/>
        <w:ind w:left="0" w:right="0" w:firstLine="576"/>
        <w:jc w:val="left"/>
      </w:pPr>
      <w:r>
        <w:rPr>
          <w:u w:val="single"/>
        </w:rPr>
        <w:t xml:space="preserve">(b) Commercial fryers;</w:t>
      </w:r>
    </w:p>
    <w:p>
      <w:pPr>
        <w:spacing w:before="0" w:after="0" w:line="408" w:lineRule="exact"/>
        <w:ind w:left="0" w:right="0" w:firstLine="576"/>
        <w:jc w:val="left"/>
      </w:pPr>
      <w:r>
        <w:rPr>
          <w:u w:val="single"/>
        </w:rPr>
        <w:t xml:space="preserve">(c) Commercial steam cookers;</w:t>
      </w:r>
    </w:p>
    <w:p>
      <w:pPr>
        <w:spacing w:before="0" w:after="0" w:line="408" w:lineRule="exact"/>
        <w:ind w:left="0" w:right="0" w:firstLine="576"/>
        <w:jc w:val="left"/>
      </w:pPr>
      <w:r>
        <w:rPr>
          <w:u w:val="single"/>
        </w:rPr>
        <w:t xml:space="preserve">(d) Computers or computer monitors;</w:t>
      </w:r>
    </w:p>
    <w:p>
      <w:pPr>
        <w:spacing w:before="0" w:after="0" w:line="408" w:lineRule="exact"/>
        <w:ind w:left="0" w:right="0" w:firstLine="576"/>
        <w:jc w:val="left"/>
      </w:pPr>
      <w:r>
        <w:rPr>
          <w:u w:val="single"/>
        </w:rPr>
        <w:t xml:space="preserve">(e) Faucets;</w:t>
      </w:r>
    </w:p>
    <w:p>
      <w:pPr>
        <w:spacing w:before="0" w:after="0" w:line="408" w:lineRule="exact"/>
        <w:ind w:left="0" w:right="0" w:firstLine="576"/>
        <w:jc w:val="left"/>
      </w:pPr>
      <w:r>
        <w:rPr>
          <w:u w:val="single"/>
        </w:rPr>
        <w:t xml:space="preserve">(f) Residential ventilating fans;</w:t>
      </w:r>
    </w:p>
    <w:p>
      <w:pPr>
        <w:spacing w:before="0" w:after="0" w:line="408" w:lineRule="exact"/>
        <w:ind w:left="0" w:right="0" w:firstLine="576"/>
        <w:jc w:val="left"/>
      </w:pPr>
      <w:r>
        <w:rPr>
          <w:u w:val="single"/>
        </w:rPr>
        <w:t xml:space="preserve">(g) Spray sprinkler bodies;</w:t>
      </w:r>
    </w:p>
    <w:p>
      <w:pPr>
        <w:spacing w:before="0" w:after="0" w:line="408" w:lineRule="exact"/>
        <w:ind w:left="0" w:right="0" w:firstLine="576"/>
        <w:jc w:val="left"/>
      </w:pPr>
      <w:r>
        <w:rPr>
          <w:u w:val="single"/>
        </w:rPr>
        <w:t xml:space="preserve">(h) Showerheads;</w:t>
      </w:r>
    </w:p>
    <w:p>
      <w:pPr>
        <w:spacing w:before="0" w:after="0" w:line="408" w:lineRule="exact"/>
        <w:ind w:left="0" w:right="0" w:firstLine="576"/>
        <w:jc w:val="left"/>
      </w:pPr>
      <w:r>
        <w:rPr>
          <w:u w:val="single"/>
        </w:rPr>
        <w:t xml:space="preserve">(i) Uninterruptible power supplies;</w:t>
      </w:r>
    </w:p>
    <w:p>
      <w:pPr>
        <w:spacing w:before="0" w:after="0" w:line="408" w:lineRule="exact"/>
        <w:ind w:left="0" w:right="0" w:firstLine="576"/>
        <w:jc w:val="left"/>
      </w:pPr>
      <w:r>
        <w:rPr>
          <w:u w:val="single"/>
        </w:rPr>
        <w:t xml:space="preserve">(j) Urinals and water closets; and</w:t>
      </w:r>
    </w:p>
    <w:p>
      <w:pPr>
        <w:spacing w:before="0" w:after="0" w:line="408" w:lineRule="exact"/>
        <w:ind w:left="0" w:right="0" w:firstLine="576"/>
        <w:jc w:val="left"/>
      </w:pPr>
      <w:r>
        <w:rPr>
          <w:u w:val="single"/>
        </w:rPr>
        <w:t xml:space="preserve">(k) Water coolers.</w:t>
      </w:r>
    </w:p>
    <w:p>
      <w:pPr>
        <w:spacing w:before="0" w:after="0" w:line="408" w:lineRule="exact"/>
        <w:ind w:left="0" w:right="0" w:firstLine="576"/>
        <w:jc w:val="left"/>
      </w:pPr>
      <w:r>
        <w:rPr>
          <w:u w:val="single"/>
        </w:rPr>
        <w:t xml:space="preserve">(4)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(5)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(6)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(8)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federal efficiency standards for federally covered products only as the standards existed on January 1, 2018. The department, in consultation with the office of the attorney general,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w:t>
      </w:r>
      <w:r>
        <w:t>((</w:t>
      </w:r>
      <w:r>
        <w:rPr>
          <w:strike/>
        </w:rPr>
        <w:t xml:space="preserve">coordinate with</w:t>
      </w:r>
      <w:r>
        <w:t>))</w:t>
      </w:r>
      <w:r>
        <w:rPr/>
        <w:t xml:space="preserve"> </w:t>
      </w:r>
      <w:r>
        <w:rPr>
          <w:u w:val="single"/>
        </w:rPr>
        <w:t xml:space="preserve">rely on</w:t>
      </w:r>
      <w:r>
        <w:rPr/>
        <w:t xml:space="preserve">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 </w:t>
      </w:r>
      <w:r>
        <w:rPr>
          <w:u w:val="single"/>
        </w:rPr>
        <w:t xml:space="preserve">Manufacturers of general service lamps that meet the efficiency standards under RCW 19.260.040 are not required to label each individual lamp offered for sale or installation in the state.</w:t>
      </w:r>
    </w:p>
    <w:p>
      <w:pPr>
        <w:spacing w:before="0" w:after="0" w:line="408" w:lineRule="exact"/>
        <w:ind w:left="0" w:right="0" w:firstLine="576"/>
        <w:jc w:val="left"/>
      </w:pPr>
      <w:r>
        <w:rPr/>
        <w:t xml:space="preserve">(4) The department may test products covered by RCW 19.260.030 </w:t>
      </w:r>
      <w:r>
        <w:rPr>
          <w:u w:val="single"/>
        </w:rPr>
        <w:t xml:space="preserve">and may rely on the results of product testing performed by or on behalf of other governmental jurisdictions with comparable standards</w:t>
      </w:r>
      <w:r>
        <w:rPr/>
        <w:t xml:space="preserve">.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w:t>
      </w:r>
      <w:r>
        <w:t>((</w:t>
      </w:r>
      <w:r>
        <w:rPr>
          <w:strike/>
        </w:rPr>
        <w:t xml:space="preserve">in paper form</w:t>
      </w:r>
      <w:r>
        <w:t>))</w:t>
      </w:r>
      <w:r>
        <w:rPr/>
        <w:t xml:space="preserve">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w:t>
      </w:r>
      <w:r>
        <w:t>((</w:t>
      </w:r>
      <w:r>
        <w:rPr>
          <w:strike/>
        </w:rPr>
        <w:t xml:space="preserve">shall</w:t>
      </w:r>
      <w:r>
        <w:t>))</w:t>
      </w:r>
      <w:r>
        <w:rPr/>
        <w:t xml:space="preserve"> </w:t>
      </w:r>
      <w:r>
        <w:rPr>
          <w:u w:val="single"/>
        </w:rPr>
        <w:t xml:space="preserve">may</w:t>
      </w:r>
      <w:r>
        <w:rPr/>
        <w:t xml:space="preserve">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2SHB 1444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04/15/2019</w:t>
      </w:r>
    </w:p>
    <w:p>
      <w:pPr>
        <w:spacing w:before="0" w:after="0" w:line="408" w:lineRule="exact"/>
        <w:ind w:left="0" w:right="0" w:firstLine="576"/>
        <w:jc w:val="left"/>
      </w:pPr>
      <w:r>
        <w:rPr/>
        <w:t xml:space="preserve">On page 1, line 1 of the title, after "standards;" strike the remainder of the title and insert "amending RCW 19.260.010, 19.260.030, 19.260.040, 19.260.050, 19.260.060, and 19.260.070; reenacting and amending RCW 19.260.020; adding a new section to chapter 19.260 RCW; creating a new section; and repealing RCW 19.27.170."</w:t>
      </w:r>
    </w:p>
    <w:p>
      <w:pPr>
        <w:spacing w:before="0" w:after="0" w:line="408" w:lineRule="exact"/>
        <w:ind w:left="0" w:right="0" w:firstLine="576"/>
        <w:jc w:val="left"/>
      </w:pPr>
      <w:r>
        <w:rPr>
          <w:u w:val="single"/>
        </w:rPr>
        <w:t xml:space="preserve">EFFECT:</w:t>
      </w:r>
      <w:r>
        <w:rPr/>
        <w:t xml:space="preserve"> Specifies that plumbing fixtures and fittings and computers and computer monitors must meet California standards. Removes the qualifier "residential" from electric storage water heaters. Clarifies that the communications port on an electric storage water heater is a design requirement rather than an efficiency standard. Requires Commerce to consult the Attorney General when compiling the report for the Legislature on federal standards that preempt state standards. Authorizes Commerce to establish by rule a later effective date or suspend enforcement of the electric storage water heater requirement if it is determined that a delay is in the public interest.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3e5ecf06694367" /></Relationships>
</file>