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eb55566c44d17" /></Relationships>
</file>

<file path=word/document.xml><?xml version="1.0" encoding="utf-8"?>
<w:document xmlns:w="http://schemas.openxmlformats.org/wordprocessingml/2006/main">
  <w:body>
    <w:p>
      <w:r>
        <w:rPr>
          <w:b/>
        </w:rPr>
        <w:r>
          <w:rPr/>
          <w:t xml:space="preserve">1578-S.E</w:t>
        </w:r>
      </w:r>
      <w:r>
        <w:rPr>
          <w:b/>
        </w:rPr>
        <w:t xml:space="preserve"> </w:t>
        <w:t xml:space="preserve">AMS</w:t>
      </w:r>
      <w:r>
        <w:rPr>
          <w:b/>
        </w:rPr>
        <w:t xml:space="preserve"> </w:t>
        <w:r>
          <w:rPr/>
          <w:t xml:space="preserve">ENET</w:t>
        </w:r>
      </w:r>
      <w:r>
        <w:rPr>
          <w:b/>
        </w:rPr>
        <w:t xml:space="preserve"> </w:t>
        <w:r>
          <w:rPr/>
          <w:t xml:space="preserve">S3180.1</w:t>
        </w:r>
      </w:r>
      <w:r>
        <w:rPr>
          <w:b/>
        </w:rPr>
        <w:t xml:space="preserve"> - NOT FOR FLOOR USE</w:t>
      </w:r>
    </w:p>
    <w:p>
      <w:pPr>
        <w:ind w:left="0" w:right="0" w:firstLine="576"/>
      </w:pP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both articulated tug barges and towed waterborne vessels or barges that are: (I) Designed to transport oil in bulk internal to the hull; and (II)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(B) do not apply to a towed general cargo deck barge; and (C) may be adjusted or suspended by rule by the board of pilotage commissioners, consistent with section 3(1)(c)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"Towed general cargo deck barge" means a waterborne vessel or barge designed to carry cargo on deck.</w:t>
      </w:r>
    </w:p>
    <w:p>
      <w:pPr>
        <w:spacing w:before="0" w:after="0" w:line="408" w:lineRule="exact"/>
        <w:ind w:left="0" w:right="0" w:firstLine="576"/>
        <w:jc w:val="left"/>
      </w:pPr>
      <w:r>
        <w:rPr>
          <w:u w:val="single"/>
        </w:rPr>
        <w:t xml:space="preserve">(d)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Both articulated tug barges and towed waterborne vessels or barges that are: (A) Designed to transport oil in bulk internal to the hull; and (B) greater than five thousand deadweight tons.</w:t>
      </w:r>
    </w:p>
    <w:p>
      <w:pPr>
        <w:spacing w:before="0" w:after="0" w:line="408" w:lineRule="exact"/>
        <w:ind w:left="0" w:right="0" w:firstLine="576"/>
        <w:jc w:val="left"/>
      </w:pPr>
      <w:r>
        <w:rPr/>
        <w:t xml:space="preserve">(b) The requirements of this section do not apply to:</w:t>
      </w:r>
    </w:p>
    <w:p>
      <w:pPr>
        <w:spacing w:before="0" w:after="0" w:line="408" w:lineRule="exact"/>
        <w:ind w:left="0" w:right="0" w:firstLine="576"/>
        <w:jc w:val="left"/>
      </w:pPr>
      <w:r>
        <w:rPr/>
        <w:t xml:space="preserve">(i) A towed general cargo deck barge; or</w:t>
      </w:r>
    </w:p>
    <w:p>
      <w:pPr>
        <w:spacing w:before="0" w:after="0" w:line="408" w:lineRule="exact"/>
        <w:ind w:left="0" w:right="0" w:firstLine="576"/>
        <w:jc w:val="left"/>
      </w:pPr>
      <w:r>
        <w:rPr/>
        <w:t xml:space="preserve">(ii) A vessel providing bunkering or refueling services.</w:t>
      </w:r>
    </w:p>
    <w:p>
      <w:pPr>
        <w:spacing w:before="0" w:after="0" w:line="408" w:lineRule="exact"/>
        <w:ind w:left="0" w:right="0" w:firstLine="576"/>
        <w:jc w:val="left"/>
      </w:pPr>
      <w:r>
        <w:rPr/>
        <w:t xml:space="preserve">(c)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or suspend those requirements based on expertise developed under subsection (5) of this section.</w:t>
      </w:r>
    </w:p>
    <w:p>
      <w:pPr>
        <w:spacing w:before="0" w:after="0" w:line="408" w:lineRule="exact"/>
        <w:ind w:left="0" w:right="0" w:firstLine="576"/>
        <w:jc w:val="left"/>
      </w:pPr>
      <w:r>
        <w:rPr/>
        <w:t xml:space="preserve">(d)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w:t>
      </w:r>
    </w:p>
    <w:p>
      <w:pPr>
        <w:spacing w:before="0" w:after="0" w:line="408" w:lineRule="exact"/>
        <w:ind w:left="0" w:right="0" w:firstLine="576"/>
        <w:jc w:val="left"/>
      </w:pPr>
      <w:r>
        <w:rPr/>
        <w:t xml:space="preserve">(ii) By December 31, 2021, complete a synopsis of changing vessel traffic trends; and</w:t>
      </w:r>
    </w:p>
    <w:p>
      <w:pPr>
        <w:spacing w:before="0" w:after="0" w:line="408" w:lineRule="exact"/>
        <w:ind w:left="0" w:right="0" w:firstLine="576"/>
        <w:jc w:val="left"/>
      </w:pPr>
      <w:r>
        <w:rPr/>
        <w:t xml:space="preserve">(iii) By September 1, 2023, consult with potentially affected federally recognized Indian treaty fishing tribes, other federally recognized treaty tribes with potentially affected interests,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from potentially affected federally recognized Indian treaty fishing tribes, other federally recognized treaty tribes with potentially affected interests,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(1)(d)(ii)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Base decisions for risk protection on geographic zones in the waters specified in subsection (1)(c)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in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 and information submitted by tribes.</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scenarios and subsets of oil tankers, articulated tug barges, and towed waterborne vessels or barges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 subject to each of the requirements of this section.</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treaty fishing tribes, other federally recognized treaty tribes with potentially affected interests,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"Towed general cargo deck barge" means a waterborne vessel or barge designed to carry cargo on deck.</w:t>
      </w:r>
    </w:p>
    <w:p>
      <w:pPr>
        <w:spacing w:before="0" w:after="0" w:line="408" w:lineRule="exact"/>
        <w:ind w:left="0" w:right="0" w:firstLine="576"/>
        <w:jc w:val="left"/>
      </w:pPr>
      <w:r>
        <w:rPr/>
        <w:t xml:space="preserve">(d)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treaty fishing tribes, other federally recognized treaty tribes with potentially affected interests,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treaty fishing tribes, other federally recognized treaty tribes with potentially affected interests,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board of pilotage commissioners determines that updates are merited to the rules, the board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each potentially affected federally recognized Indian treaty fishing tribe, other federally recognized treaty tribes with potentially affected interests,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04/12/2019</w:t>
      </w:r>
    </w:p>
    <w:p>
      <w:pPr>
        <w:spacing w:before="0" w:after="0" w:line="408" w:lineRule="exact"/>
        <w:ind w:left="0" w:right="0" w:firstLine="576"/>
        <w:jc w:val="left"/>
      </w:pPr>
      <w:r>
        <w:rPr/>
        <w:t xml:space="preserve">On page 1, line 2 of the title, after "transportation;" strike the remainder of the title and insert "amending RCW 88.16.190, 88.46.240, 90.56.565, and 88.46.165; adding a new section to chapter 88.16 RCW; adding new sections to chapter 88.46 RCW; creating a new section; and providing an effective date."</w:t>
      </w:r>
    </w:p>
    <w:p>
      <w:pPr>
        <w:spacing w:before="0" w:after="0" w:line="408" w:lineRule="exact"/>
        <w:ind w:left="0" w:right="0" w:firstLine="576"/>
        <w:jc w:val="left"/>
      </w:pPr>
      <w:r>
        <w:rPr>
          <w:u w:val="single"/>
        </w:rPr>
        <w:t xml:space="preserve">EFFECT:</w:t>
      </w:r>
      <w:r>
        <w:rPr/>
        <w:t xml:space="preserve"> Includes tug escort requirements for Rosario Strait may be suspended through rules based on expertise gained after consideration of information during rule review; adds clarifying language regarding the definition of ATBs and towed waterborne vessels and impacted federally recognized Indian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de04b62254675" /></Relationships>
</file>