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33249ed961c4e46" /></Relationships>
</file>

<file path=word/document.xml><?xml version="1.0" encoding="utf-8"?>
<w:document xmlns:w="http://schemas.openxmlformats.org/wordprocessingml/2006/main">
  <w:body>
    <w:p>
      <w:r>
        <w:rPr>
          <w:b/>
        </w:rPr>
        <w:r>
          <w:rPr/>
          <w:t xml:space="preserve">1579-S2</w:t>
        </w:r>
      </w:r>
      <w:r>
        <w:rPr>
          <w:b/>
        </w:rPr>
        <w:t xml:space="preserve"> </w:t>
        <w:t xml:space="preserve">AMS</w:t>
      </w:r>
      <w:r>
        <w:rPr>
          <w:b/>
        </w:rPr>
        <w:t xml:space="preserve"> </w:t>
        <w:r>
          <w:rPr/>
          <w:t xml:space="preserve">WM</w:t>
        </w:r>
      </w:r>
      <w:r>
        <w:rPr>
          <w:b/>
        </w:rPr>
        <w:t xml:space="preserve"> </w:t>
        <w:r>
          <w:rPr/>
          <w:t xml:space="preserve">S3930.1</w:t>
        </w:r>
      </w:r>
      <w:r>
        <w:rPr>
          <w:b/>
        </w:rPr>
        <w:t xml:space="preserve"> - NOT FOR FLOOR USE</w:t>
      </w:r>
    </w:p>
    <w:p>
      <w:pPr>
        <w:ind w:left="0" w:right="0" w:firstLine="576"/>
      </w:pPr>
    </w:p>
    <w:p>
      <w:pPr>
        <w:spacing w:before="480" w:after="0" w:line="408" w:lineRule="exact"/>
      </w:pPr>
      <w:r>
        <w:rPr>
          <w:b/>
          <w:u w:val="single"/>
        </w:rPr>
        <w:t xml:space="preserve">2SHB 1579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04/10/2019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population of southern resident killer whales has declined in recent years and currently stands at a thirty-year low of seventy-four animals.</w:t>
      </w:r>
    </w:p>
    <w:p>
      <w:pPr>
        <w:spacing w:before="0" w:after="0" w:line="408" w:lineRule="exact"/>
        <w:ind w:left="0" w:right="0" w:firstLine="576"/>
        <w:jc w:val="left"/>
      </w:pPr>
      <w:r>
        <w:rPr/>
        <w:t xml:space="preserve">(2) The governor convened the southern resident killer whale task force after the 2018 legislative session to study and identify actions that could be taken to help sustain and recover this important species. In the course of its work, the task force found that chinook salmon compose the largest portion of the whales' diet, and are therefore critical to the recovery of the species. Further, several runs of chinook salmon in Washington state are listed under the federal endangered species act, making chinook recovery all the more urgent.</w:t>
      </w:r>
    </w:p>
    <w:p>
      <w:pPr>
        <w:spacing w:before="0" w:after="0" w:line="408" w:lineRule="exact"/>
        <w:ind w:left="0" w:right="0" w:firstLine="576"/>
        <w:jc w:val="left"/>
      </w:pPr>
      <w:r>
        <w:rPr/>
        <w:t xml:space="preserve">(3) The task force identified four overarching southern resident killer whale recovery goals and adopted several recommendations for specific actions under each goal. Goal one identified by the task force is to increase chinook abundance, and actions under that goal relate to habitat protection, protection of chinook prey, such as forage fish, and reducing impacts of nonnative chinook predators.</w:t>
      </w:r>
    </w:p>
    <w:p>
      <w:pPr>
        <w:spacing w:before="0" w:after="0" w:line="408" w:lineRule="exact"/>
        <w:ind w:left="0" w:right="0" w:firstLine="576"/>
        <w:jc w:val="left"/>
      </w:pPr>
      <w:r>
        <w:rPr/>
        <w:t xml:space="preserve">(4) To address the need identified by the task force to increase chinook abundance, the legislature intends to take initial, important steps consistent with recommendations made by the governor's southern resident killer whale task force.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commission shall adopt rules to liberalize bag limits for bass, walleye, and channel catfish in all anadromous waters of the state in order to reduce the predation risk to salmon smolts.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010</w:t>
      </w:r>
      <w:r>
        <w:rPr/>
        <w:t xml:space="preserve"> and 2014 c 48 s 26 are each amended to read as follows:</w:t>
      </w:r>
    </w:p>
    <w:p>
      <w:pPr>
        <w:spacing w:before="0" w:after="0" w:line="408" w:lineRule="exact"/>
        <w:ind w:left="0" w:right="0" w:firstLine="576"/>
        <w:jc w:val="left"/>
      </w:pPr>
      <w:r>
        <w:rPr/>
        <w:t xml:space="preserve">(1) Except as otherwise provided in this chapter or department rule, a recreational license issued by the director is required to hunt, fish, or take wildlife or seaweed. A recreational fishing or shellfish license is not required for carp, </w:t>
      </w:r>
      <w:r>
        <w:rPr>
          <w:u w:val="single"/>
        </w:rPr>
        <w:t xml:space="preserve">freshwater</w:t>
      </w:r>
      <w:r>
        <w:rPr/>
        <w:t xml:space="preserve"> smelt, and crawfish, and a hunting license is not required for bullfrogs.</w:t>
      </w:r>
    </w:p>
    <w:p>
      <w:pPr>
        <w:spacing w:before="0" w:after="0" w:line="408" w:lineRule="exact"/>
        <w:ind w:left="0" w:right="0" w:firstLine="576"/>
        <w:jc w:val="left"/>
      </w:pPr>
      <w:r>
        <w:rPr/>
        <w:t xml:space="preserve">(2) A pass or permit issued under RCW 79A.80.020, 79A.80.030, or 79A.80.040 is required to park or operate a motor vehicle on a recreation site or lands, as defined in RCW 79A.80.010.</w:t>
      </w:r>
    </w:p>
    <w:p>
      <w:pPr>
        <w:spacing w:before="0" w:after="0" w:line="408" w:lineRule="exact"/>
        <w:ind w:left="0" w:right="0" w:firstLine="576"/>
        <w:jc w:val="left"/>
      </w:pPr>
      <w:r>
        <w:rPr/>
        <w:t xml:space="preserve">(3) The commission may, by rule, indicate that a fishing permit issued to a nontribal member by the Colville Tribes shall satisfy the license requirements in subsection (1) of this section on the waters of Lake Rufus Woods and on the north shore of Lake Rufus Woods, and that a Colville Tribes tribal member identification card shall satisfy the license requirements in subsection (1) of this section on all waters of Lake Rufus Woods.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A person proposing construction or other work landward of the ordinary high water line that will use, divert, obstruct, or change the natural flow or bed of state waters shall submit a permit application to the department. However, if a person is unsure about whether the work requires a permit, they may request a preapplication determination from the department. The department must evaluate the proposed work and determine if the work is a hydraulic project and, if so, whether a permit from the department is required to ensure adequate protection of fish life.</w:t>
      </w:r>
    </w:p>
    <w:p>
      <w:pPr>
        <w:spacing w:before="0" w:after="0" w:line="408" w:lineRule="exact"/>
        <w:ind w:left="0" w:right="0" w:firstLine="576"/>
        <w:jc w:val="left"/>
      </w:pPr>
      <w:r>
        <w:rPr/>
        <w:t xml:space="preserve">(2) The preapplication determination request must be submitted through the department's online permitting system and must contain:</w:t>
      </w:r>
    </w:p>
    <w:p>
      <w:pPr>
        <w:spacing w:before="0" w:after="0" w:line="408" w:lineRule="exact"/>
        <w:ind w:left="0" w:right="0" w:firstLine="576"/>
        <w:jc w:val="left"/>
      </w:pPr>
      <w:r>
        <w:rPr/>
        <w:t xml:space="preserve">(a) A description of the proposed project;</w:t>
      </w:r>
    </w:p>
    <w:p>
      <w:pPr>
        <w:spacing w:before="0" w:after="0" w:line="408" w:lineRule="exact"/>
        <w:ind w:left="0" w:right="0" w:firstLine="576"/>
        <w:jc w:val="left"/>
      </w:pPr>
      <w:r>
        <w:rPr/>
        <w:t xml:space="preserve">(b) A map showing the location of the project site; and</w:t>
      </w:r>
    </w:p>
    <w:p>
      <w:pPr>
        <w:spacing w:before="0" w:after="0" w:line="408" w:lineRule="exact"/>
        <w:ind w:left="0" w:right="0" w:firstLine="576"/>
        <w:jc w:val="left"/>
      </w:pPr>
      <w:r>
        <w:rPr/>
        <w:t xml:space="preserve">(c) Preliminary plans and specifications of the proposed construction or work, if available.</w:t>
      </w:r>
    </w:p>
    <w:p>
      <w:pPr>
        <w:spacing w:before="0" w:after="0" w:line="408" w:lineRule="exact"/>
        <w:ind w:left="0" w:right="0" w:firstLine="576"/>
        <w:jc w:val="left"/>
      </w:pPr>
      <w:r>
        <w:rPr/>
        <w:t xml:space="preserve">(3) The department shall provide tribes and local governments a seven calendar day review and comment period. The department shall consider all applicable written comments received before issuing a determination.</w:t>
      </w:r>
    </w:p>
    <w:p>
      <w:pPr>
        <w:spacing w:before="0" w:after="0" w:line="408" w:lineRule="exact"/>
        <w:ind w:left="0" w:right="0" w:firstLine="576"/>
        <w:jc w:val="left"/>
      </w:pPr>
      <w:r>
        <w:rPr/>
        <w:t xml:space="preserve">(4) The department shall issue a written determination, including the rationale for the decision, within twenty-one calendar days of receiving the request.</w:t>
      </w:r>
    </w:p>
    <w:p>
      <w:pPr>
        <w:spacing w:before="0" w:after="0" w:line="408" w:lineRule="exact"/>
        <w:ind w:left="0" w:right="0" w:firstLine="576"/>
        <w:jc w:val="left"/>
      </w:pPr>
      <w:r>
        <w:rPr/>
        <w:t xml:space="preserve">(5) Determinations made according to the provisions of this section are not subject to the requirements of chapter 43.21C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When the department determines that a violation of this chapter, or of any of the rules that implement this chapter, has occurred or is about to occur, it shall first attempt to achieve voluntary compliance. The department shall offer information and technical assistance to the project proponent, identifying one or more means to accomplish the project proponent's purposes within the framework of the law. The department shall provide a reasonable timeline to achieve voluntary compliance that takes into consideration factors specific to the violation, such as the complexity of the hydraulic project, the actual or potential harm to fish life or fish habitat, and the environmental conditions at the time.</w:t>
      </w:r>
    </w:p>
    <w:p>
      <w:pPr>
        <w:spacing w:before="0" w:after="0" w:line="408" w:lineRule="exact"/>
        <w:ind w:left="0" w:right="0" w:firstLine="576"/>
        <w:jc w:val="left"/>
      </w:pPr>
      <w:r>
        <w:rPr/>
        <w:t xml:space="preserve">(2) If a person violates this chapter, or any of the rules that implement this chapter, or deviates from a permit, the department may issue a notice of correction in accordance with chapter 43.05 RCW, a notice of violation in accordance with chapter 43.05 RCW, a stop work order, a notice to comply, or a notice of civil penalty as authorized by law and subject to chapter 43.05 RCW and RCW 34.05.110.</w:t>
      </w:r>
    </w:p>
    <w:p>
      <w:pPr>
        <w:spacing w:before="0" w:after="0" w:line="408" w:lineRule="exact"/>
        <w:ind w:left="0" w:right="0" w:firstLine="576"/>
        <w:jc w:val="left"/>
      </w:pPr>
      <w:r>
        <w:rPr/>
        <w:t xml:space="preserve">(3) For purposes of this section, the term "project proponent" means a person who has applied for a hydraulic project approval, a person identified as an authorized agent on an application for a hydraulic project approval, a person who has obtained a hydraulic project approval, or a person who undertakes a hydraulic project without a hydraulic project approval.</w:t>
      </w:r>
    </w:p>
    <w:p>
      <w:pPr>
        <w:spacing w:before="0" w:after="0" w:line="408" w:lineRule="exact"/>
        <w:ind w:left="0" w:right="0" w:firstLine="576"/>
        <w:jc w:val="left"/>
      </w:pPr>
      <w:r>
        <w:rPr/>
        <w:t xml:space="preserve">(4) This section does not apply to a project, or to that portion of a project, that has received a forest practices hydraulic project permit from the department of natural resources pursuant to chapter 76.09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serve upon a project proponent a stop work order, which is a final order of the department, if:</w:t>
      </w:r>
    </w:p>
    <w:p>
      <w:pPr>
        <w:spacing w:before="0" w:after="0" w:line="408" w:lineRule="exact"/>
        <w:ind w:left="0" w:right="0" w:firstLine="576"/>
        <w:jc w:val="left"/>
      </w:pPr>
      <w:r>
        <w:rPr/>
        <w:t xml:space="preserve">(a) There is any severe violation of this chapter or of the rules implementing this chapter or there is a deviation from the hydraulic project approval that may cause significant harm to fish life; and</w:t>
      </w:r>
    </w:p>
    <w:p>
      <w:pPr>
        <w:spacing w:before="0" w:after="0" w:line="408" w:lineRule="exact"/>
        <w:ind w:left="0" w:right="0" w:firstLine="576"/>
        <w:jc w:val="left"/>
      </w:pPr>
      <w:r>
        <w:rPr/>
        <w:t xml:space="preserve">(b) Immediate action is necessary to prevent continuation of or to avoid more than minor harm to fish life or fish habitat.</w:t>
      </w:r>
    </w:p>
    <w:p>
      <w:pPr>
        <w:spacing w:before="0" w:after="0" w:line="408" w:lineRule="exact"/>
        <w:ind w:left="0" w:right="0" w:firstLine="576"/>
        <w:jc w:val="left"/>
      </w:pPr>
      <w:r>
        <w:rPr/>
        <w:t xml:space="preserve">(2)(a) The stop work order must set forth:</w:t>
      </w:r>
    </w:p>
    <w:p>
      <w:pPr>
        <w:spacing w:before="0" w:after="0" w:line="408" w:lineRule="exact"/>
        <w:ind w:left="0" w:right="0" w:firstLine="576"/>
        <w:jc w:val="left"/>
      </w:pPr>
      <w:r>
        <w:rPr/>
        <w:t xml:space="preserve">(i) A description of the condition that is not in compliance and the text of the specific section or subsection of this chapter or the rules that implement this chapter;</w:t>
      </w:r>
    </w:p>
    <w:p>
      <w:pPr>
        <w:spacing w:before="0" w:after="0" w:line="408" w:lineRule="exact"/>
        <w:ind w:left="0" w:right="0" w:firstLine="576"/>
        <w:jc w:val="left"/>
      </w:pPr>
      <w:r>
        <w:rPr/>
        <w:t xml:space="preserve">(ii) A statement of what is required to achieve compliance;</w:t>
      </w:r>
    </w:p>
    <w:p>
      <w:pPr>
        <w:spacing w:before="0" w:after="0" w:line="408" w:lineRule="exact"/>
        <w:ind w:left="0" w:right="0" w:firstLine="576"/>
        <w:jc w:val="left"/>
      </w:pPr>
      <w:r>
        <w:rPr/>
        <w:t xml:space="preserve">(iii) The date by which the department requires compliance;</w:t>
      </w:r>
    </w:p>
    <w:p>
      <w:pPr>
        <w:spacing w:before="0" w:after="0" w:line="408" w:lineRule="exact"/>
        <w:ind w:left="0" w:right="0" w:firstLine="576"/>
        <w:jc w:val="left"/>
      </w:pPr>
      <w:r>
        <w:rPr/>
        <w:t xml:space="preserve">(iv) Notice of the means to contact any technical assistance services provided by the department or others;</w:t>
      </w:r>
    </w:p>
    <w:p>
      <w:pPr>
        <w:spacing w:before="0" w:after="0" w:line="408" w:lineRule="exact"/>
        <w:ind w:left="0" w:right="0" w:firstLine="576"/>
        <w:jc w:val="left"/>
      </w:pPr>
      <w:r>
        <w:rPr/>
        <w:t xml:space="preserve">(v) Notice of when, where, and to whom the request to extend the time to achieve compliance for good cause may be filed with the department; and</w:t>
      </w:r>
    </w:p>
    <w:p>
      <w:pPr>
        <w:spacing w:before="0" w:after="0" w:line="408" w:lineRule="exact"/>
        <w:ind w:left="0" w:right="0" w:firstLine="576"/>
        <w:jc w:val="left"/>
      </w:pPr>
      <w:r>
        <w:rPr/>
        <w:t xml:space="preserve">(vi) The right to an appeal.</w:t>
      </w:r>
    </w:p>
    <w:p>
      <w:pPr>
        <w:spacing w:before="0" w:after="0" w:line="408" w:lineRule="exact"/>
        <w:ind w:left="0" w:right="0" w:firstLine="576"/>
        <w:jc w:val="left"/>
      </w:pPr>
      <w:r>
        <w:rPr/>
        <w:t xml:space="preserve">(b) A stop work order may require that any project proponent stop all work connected with the violation until corrective action is taken. A stop work order may also require that any project proponent take corrective action to prevent, correct, or compensate for adverse impacts to fish life and fish habitat.</w:t>
      </w:r>
    </w:p>
    <w:p>
      <w:pPr>
        <w:spacing w:before="0" w:after="0" w:line="408" w:lineRule="exact"/>
        <w:ind w:left="0" w:right="0" w:firstLine="576"/>
        <w:jc w:val="left"/>
      </w:pPr>
      <w:r>
        <w:rPr/>
        <w:t xml:space="preserve">(c) A stop work order must be authorized by senior or executive department personnel. The department shall initiate rule making to identify the appropriate level of senior and executive level staff approval for these actions based on the level of financial effect on the violator and the scope and scale of the impact to fish life and habitat.</w:t>
      </w:r>
    </w:p>
    <w:p>
      <w:pPr>
        <w:spacing w:before="0" w:after="0" w:line="408" w:lineRule="exact"/>
        <w:ind w:left="0" w:right="0" w:firstLine="576"/>
        <w:jc w:val="left"/>
      </w:pPr>
      <w:r>
        <w:rPr/>
        <w:t xml:space="preserve">(3) Within five business days of issuing the stop work order, the department shall mail a copy of the stop work order to the last known address of any project proponent, to the last known address of the owner of the land on which the hydraulic project is located, and to the local jurisdiction in which the hydraulic project is located. The department must take all measures reasonably calculated to ensure that the project proponent actually receives notice of the stop work order.</w:t>
      </w:r>
    </w:p>
    <w:p>
      <w:pPr>
        <w:spacing w:before="0" w:after="0" w:line="408" w:lineRule="exact"/>
        <w:ind w:left="0" w:right="0" w:firstLine="576"/>
        <w:jc w:val="left"/>
      </w:pPr>
      <w:r>
        <w:rPr/>
        <w:t xml:space="preserve">(4) Issuance of a stop work order may be informally appealed by a project proponent who was served with the stop work order or who received a copy of the stop work order from the department, or by the owner of the land on which the hydraulic project is located, to the department within thirty days from the date of receipt of the stop work order. Requests for informal appeal must be filed in the form and manner prescribed by the department by rule. A stop work order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(5) The project proponent who was served with the stop work order or who received a copy of the stop work order from the department, or the owner of the land on which the hydraulic project is located, may commence an appeal to the board within thirty days from the date of receipt of the stop work order. If such an appeal is commenced, the proceeding is an adjudicative proceeding under the administrative procedure act, chapter 34.05 RCW. The recipient of the stop work order must comply with the order of the department immediately upon being served, but the board may stay, modify, or discontinue the order, upon motion, under such conditions as the board may impose.</w:t>
      </w:r>
    </w:p>
    <w:p>
      <w:pPr>
        <w:spacing w:before="0" w:after="0" w:line="408" w:lineRule="exact"/>
        <w:ind w:left="0" w:right="0" w:firstLine="576"/>
        <w:jc w:val="left"/>
      </w:pPr>
      <w:r>
        <w:rPr/>
        <w:t xml:space="preserve">(6) This section does not apply to a project, or to that portion of a project, that has received a forest practices hydraulic project permit from the department of natural resources pursuant to chapter 76.09 RCW.</w:t>
      </w:r>
    </w:p>
    <w:p>
      <w:pPr>
        <w:spacing w:before="0" w:after="0" w:line="408" w:lineRule="exact"/>
        <w:ind w:left="0" w:right="0" w:firstLine="576"/>
        <w:jc w:val="left"/>
      </w:pPr>
      <w:r>
        <w:rPr/>
        <w:t xml:space="preserve">(7) For the purposes of this section, "project proponent" has the same meaning as defined in section 5(3)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(1)(a) If a violation of this chapter or of the rules implementing this chapter, a deviation from the hydraulic project approval, damage to fish life or fish habitat, or potential damage to fish life or fish habitat, has occurred and the department determines that a stop work order is unnecessary, the department may issue and serve upon a project proponent a notice to comply, which must clearly set forth:</w:t>
      </w:r>
    </w:p>
    <w:p>
      <w:pPr>
        <w:spacing w:before="0" w:after="0" w:line="408" w:lineRule="exact"/>
        <w:ind w:left="0" w:right="0" w:firstLine="576"/>
        <w:jc w:val="left"/>
      </w:pPr>
      <w:r>
        <w:rPr/>
        <w:t xml:space="preserve">(i) A description of the condition that is not in compliance and the text of the specific section or subsection of this chapter or the rules that implement this chapter;</w:t>
      </w:r>
    </w:p>
    <w:p>
      <w:pPr>
        <w:spacing w:before="0" w:after="0" w:line="408" w:lineRule="exact"/>
        <w:ind w:left="0" w:right="0" w:firstLine="576"/>
        <w:jc w:val="left"/>
      </w:pPr>
      <w:r>
        <w:rPr/>
        <w:t xml:space="preserve">(ii) A statement of what is required to achieve compliance;</w:t>
      </w:r>
    </w:p>
    <w:p>
      <w:pPr>
        <w:spacing w:before="0" w:after="0" w:line="408" w:lineRule="exact"/>
        <w:ind w:left="0" w:right="0" w:firstLine="576"/>
        <w:jc w:val="left"/>
      </w:pPr>
      <w:r>
        <w:rPr/>
        <w:t xml:space="preserve">(iii) The date by which the department requires compliance to be achieved;</w:t>
      </w:r>
    </w:p>
    <w:p>
      <w:pPr>
        <w:spacing w:before="0" w:after="0" w:line="408" w:lineRule="exact"/>
        <w:ind w:left="0" w:right="0" w:firstLine="576"/>
        <w:jc w:val="left"/>
      </w:pPr>
      <w:r>
        <w:rPr/>
        <w:t xml:space="preserve">(iv) Notice of the means to contact any technical assistance services provided by the department or others;</w:t>
      </w:r>
    </w:p>
    <w:p>
      <w:pPr>
        <w:spacing w:before="0" w:after="0" w:line="408" w:lineRule="exact"/>
        <w:ind w:left="0" w:right="0" w:firstLine="576"/>
        <w:jc w:val="left"/>
      </w:pPr>
      <w:r>
        <w:rPr/>
        <w:t xml:space="preserve">(v) Notice of when, where, and to whom a request to extend the time to achieve compliance for good cause may be filed with the department; and</w:t>
      </w:r>
    </w:p>
    <w:p>
      <w:pPr>
        <w:spacing w:before="0" w:after="0" w:line="408" w:lineRule="exact"/>
        <w:ind w:left="0" w:right="0" w:firstLine="576"/>
        <w:jc w:val="left"/>
      </w:pPr>
      <w:r>
        <w:rPr/>
        <w:t xml:space="preserve">(vi) The right to an appeal.</w:t>
      </w:r>
    </w:p>
    <w:p>
      <w:pPr>
        <w:spacing w:before="0" w:after="0" w:line="408" w:lineRule="exact"/>
        <w:ind w:left="0" w:right="0" w:firstLine="576"/>
        <w:jc w:val="left"/>
      </w:pPr>
      <w:r>
        <w:rPr/>
        <w:t xml:space="preserve">(b) The notice to comply may require that any project proponent take corrective action to prevent, correct, or compensate for adverse impacts to fish life or fish habitat.</w:t>
      </w:r>
    </w:p>
    <w:p>
      <w:pPr>
        <w:spacing w:before="0" w:after="0" w:line="408" w:lineRule="exact"/>
        <w:ind w:left="0" w:right="0" w:firstLine="576"/>
        <w:jc w:val="left"/>
      </w:pPr>
      <w:r>
        <w:rPr/>
        <w:t xml:space="preserve">(2) Within five business days of issuing the notice to comply, the department shall mail a copy of the notice to comply to the last known address of any project proponent, to the last known address of the owner of the land on which the hydraulic project is located, and to the local jurisdiction in which the hydraulic project is located. The department must take all measures reasonably calculated to ensure that the project proponent actually receives notice of the notice to comply.</w:t>
      </w:r>
    </w:p>
    <w:p>
      <w:pPr>
        <w:spacing w:before="0" w:after="0" w:line="408" w:lineRule="exact"/>
        <w:ind w:left="0" w:right="0" w:firstLine="576"/>
        <w:jc w:val="left"/>
      </w:pPr>
      <w:r>
        <w:rPr/>
        <w:t xml:space="preserve">(3) Issuance of a notice to comply may be informally appealed by a project proponent who was served with the notice to comply or who received a copy of the notice to comply from the department, or by the owner of the land on which the hydraulic project is located, to the department within thirty days from the date of receipt of the notice to comply. Requests for informal appeal must be filed in the form and manner prescribed by the department by rule. A notice to comply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(4) The project proponent who was served with the notice to comply, the project proponent who received a copy of the notice to comply from the department, or the owner of the land on which the hydraulic project is located may commence an appeal to the board within thirty days from the date of receipt of the notice to comply. If such an appeal is commenced, the proceeding is an adjudicative proceeding under the administrative procedure act, chapter 34.05 RCW. The recipient of the notice to comply must comply with the notice to comply immediately upon being served, but the board may stay, modify, or discontinue the notice to comply, upon motion, under such conditions as the board may impose.</w:t>
      </w:r>
    </w:p>
    <w:p>
      <w:pPr>
        <w:spacing w:before="0" w:after="0" w:line="408" w:lineRule="exact"/>
        <w:ind w:left="0" w:right="0" w:firstLine="576"/>
        <w:jc w:val="left"/>
      </w:pPr>
      <w:r>
        <w:rPr/>
        <w:t xml:space="preserve">(5) This section does not apply to a project, or to that portion of a project, that has received a forest practices hydraulic project permit from the department of natural resources pursuant to chapter 76.09 RCW.</w:t>
      </w:r>
    </w:p>
    <w:p>
      <w:pPr>
        <w:spacing w:before="0" w:after="0" w:line="408" w:lineRule="exact"/>
        <w:ind w:left="0" w:right="0" w:firstLine="576"/>
        <w:jc w:val="left"/>
      </w:pPr>
      <w:r>
        <w:rPr/>
        <w:t xml:space="preserve">(6) For the purposes of this section, "project proponent" has the same meaning as defined in section 5(3)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(1)(a) If section 13 of this act is enacted into law by June 30, 2019, the department may levy civil penalties of up to ten thousand dollars for every violation of this chapter or of the rules that implement this chapter. If section 13 of this act is not enacted into law by June 30, 2019, the department may levy civil penalties of up to one hundred dollars for every violation of this chapter or of the rules that implement this chapter. Each and every violation is a separate and distinct civil offense.</w:t>
      </w:r>
    </w:p>
    <w:p>
      <w:pPr>
        <w:spacing w:before="0" w:after="0" w:line="408" w:lineRule="exact"/>
        <w:ind w:left="0" w:right="0" w:firstLine="576"/>
        <w:jc w:val="left"/>
      </w:pPr>
      <w:r>
        <w:rPr/>
        <w:t xml:space="preserve">(b) Penalties must be authorized by senior or executive department personnel. The department shall initiate rule making to identify the appropriate level of senior and executive level staff approval for these actions based on the level of financial effect on the violator and the scope and scale of the impact to fish life and habitat.</w:t>
      </w:r>
    </w:p>
    <w:p>
      <w:pPr>
        <w:spacing w:before="0" w:after="0" w:line="408" w:lineRule="exact"/>
        <w:ind w:left="0" w:right="0" w:firstLine="576"/>
        <w:jc w:val="left"/>
      </w:pPr>
      <w:r>
        <w:rPr/>
        <w:t xml:space="preserve">(2) The penalty provided must be imposed by notice in writing by the department, provided either by certified mail or by personal service, to the person incurring the penalty and to the local jurisdiction in which the hydraulic project is located, describing the violation. The department must take all measures reasonably calculated to ensure that the project proponent actually receives notice of the notice of penalty. The civil penalty notice must set forth:</w:t>
      </w:r>
    </w:p>
    <w:p>
      <w:pPr>
        <w:spacing w:before="0" w:after="0" w:line="408" w:lineRule="exact"/>
        <w:ind w:left="0" w:right="0" w:firstLine="576"/>
        <w:jc w:val="left"/>
      </w:pPr>
      <w:r>
        <w:rPr/>
        <w:t xml:space="preserve">(a) The basis for the penalty;</w:t>
      </w:r>
    </w:p>
    <w:p>
      <w:pPr>
        <w:spacing w:before="0" w:after="0" w:line="408" w:lineRule="exact"/>
        <w:ind w:left="0" w:right="0" w:firstLine="576"/>
        <w:jc w:val="left"/>
      </w:pPr>
      <w:r>
        <w:rPr/>
        <w:t xml:space="preserve">(b) The amount of the penalty; and</w:t>
      </w:r>
    </w:p>
    <w:p>
      <w:pPr>
        <w:spacing w:before="0" w:after="0" w:line="408" w:lineRule="exact"/>
        <w:ind w:left="0" w:right="0" w:firstLine="576"/>
        <w:jc w:val="left"/>
      </w:pPr>
      <w:r>
        <w:rPr/>
        <w:t xml:space="preserve">(c) The right of the person incurring the penalty to appeal the civil penalty.</w:t>
      </w:r>
    </w:p>
    <w:p>
      <w:pPr>
        <w:spacing w:before="0" w:after="0" w:line="408" w:lineRule="exact"/>
        <w:ind w:left="0" w:right="0" w:firstLine="576"/>
        <w:jc w:val="left"/>
      </w:pPr>
      <w:r>
        <w:rPr/>
        <w:t xml:space="preserve">(3)(a) Except as provided in (b) of this subsection, any person incurring any penalty under this chapter may appeal the penalty to the board pursuant to chapter 34.05 RCW. Appeals must be filed within thirty days from the date of receipt of the notice of civil penalty in accordance with RCW 43.21B.230.</w:t>
      </w:r>
    </w:p>
    <w:p>
      <w:pPr>
        <w:spacing w:before="0" w:after="0" w:line="408" w:lineRule="exact"/>
        <w:ind w:left="0" w:right="0" w:firstLine="576"/>
        <w:jc w:val="left"/>
      </w:pPr>
      <w:r>
        <w:rPr/>
        <w:t xml:space="preserve">(b) Issuance of a civil penalty may be informally appealed by the person incurring the penalty to the department within thirty days from the date of receipt of the notice of civil penalty. Requests for informal appeal must be filed in the form and manner prescribed by the department by rule. A civil penalty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(4) The penalty imposed becomes due and payable thirty days after receipt of a notice imposing the penalty unless an appeal is filed. Whenever an appeal of any penalty incurred under this chapter is filed, the penalty becomes due and payable only upon completion of all review proceedings and the issuance of a final order confirming the penalty in whole or in part. When the penalty becomes past due, it is also subject to interest at the rate allowed by RCW 43.17.240 for debts owed to the state.</w:t>
      </w:r>
    </w:p>
    <w:p>
      <w:pPr>
        <w:spacing w:before="0" w:after="0" w:line="408" w:lineRule="exact"/>
        <w:ind w:left="0" w:right="0" w:firstLine="576"/>
        <w:jc w:val="left"/>
      </w:pPr>
      <w:r>
        <w:rPr/>
        <w:t xml:space="preserve">(5) If the amount of any penalty is not paid within thirty days after it becomes due and payable, the attorney general, upon the request of the director, shall bring an action in the name of the state of Washington in the superior court of Thurston county or of the county in which such a violation occurred, to recover the penalty. In all such actions, the rules of civil procedure</w:t>
      </w:r>
      <w:r>
        <w:rPr>
          <w:strike/>
        </w:rPr>
        <w:t xml:space="preserve">s</w:t>
      </w:r>
      <w:r>
        <w:rPr/>
        <w:t xml:space="preserve"> and the rules of evidence are the same as in an ordinary civil action. The department is also entitled to recover reasonable attorneys' fees and costs incurred in connection with the penalty recovered under this section. All civil penalties received or recovered by state agency action for violations as prescribed in subsection (1) of this section must be deposited into the state's general fund. The department is authorized to retain any attorneys' fees and costs it may be awarded in connection with an action brought to recover a civil penalty issued pursuant to this section.</w:t>
      </w:r>
    </w:p>
    <w:p>
      <w:pPr>
        <w:spacing w:before="0" w:after="0" w:line="408" w:lineRule="exact"/>
        <w:ind w:left="0" w:right="0" w:firstLine="576"/>
        <w:jc w:val="left"/>
      </w:pPr>
      <w:r>
        <w:rPr/>
        <w:t xml:space="preserve">(6) The department shall adopt by rule a penalty schedule to be effective by January 1, 2020. The penalty schedule must be developed in consideration of the following:</w:t>
      </w:r>
    </w:p>
    <w:p>
      <w:pPr>
        <w:spacing w:before="0" w:after="0" w:line="408" w:lineRule="exact"/>
        <w:ind w:left="0" w:right="0" w:firstLine="576"/>
        <w:jc w:val="left"/>
      </w:pPr>
      <w:r>
        <w:rPr/>
        <w:t xml:space="preserve">(a) Previous violation history;</w:t>
      </w:r>
    </w:p>
    <w:p>
      <w:pPr>
        <w:spacing w:before="0" w:after="0" w:line="408" w:lineRule="exact"/>
        <w:ind w:left="0" w:right="0" w:firstLine="576"/>
        <w:jc w:val="left"/>
      </w:pPr>
      <w:r>
        <w:rPr/>
        <w:t xml:space="preserve">(b) Severity of the impact on fish life and fish habitat;</w:t>
      </w:r>
    </w:p>
    <w:p>
      <w:pPr>
        <w:spacing w:before="0" w:after="0" w:line="408" w:lineRule="exact"/>
        <w:ind w:left="0" w:right="0" w:firstLine="576"/>
        <w:jc w:val="left"/>
      </w:pPr>
      <w:r>
        <w:rPr/>
        <w:t xml:space="preserve">(c) Whether the violation of this chapter or of its rules was intentional;</w:t>
      </w:r>
    </w:p>
    <w:p>
      <w:pPr>
        <w:spacing w:before="0" w:after="0" w:line="408" w:lineRule="exact"/>
        <w:ind w:left="0" w:right="0" w:firstLine="576"/>
        <w:jc w:val="left"/>
      </w:pPr>
      <w:r>
        <w:rPr/>
        <w:t xml:space="preserve">(d) Cooperation with the department;</w:t>
      </w:r>
    </w:p>
    <w:p>
      <w:pPr>
        <w:spacing w:before="0" w:after="0" w:line="408" w:lineRule="exact"/>
        <w:ind w:left="0" w:right="0" w:firstLine="576"/>
        <w:jc w:val="left"/>
      </w:pPr>
      <w:r>
        <w:rPr/>
        <w:t xml:space="preserve">(e) Reparability of any adverse effects resulting from the violation; and</w:t>
      </w:r>
    </w:p>
    <w:p>
      <w:pPr>
        <w:spacing w:before="0" w:after="0" w:line="408" w:lineRule="exact"/>
        <w:ind w:left="0" w:right="0" w:firstLine="576"/>
        <w:jc w:val="left"/>
      </w:pPr>
      <w:r>
        <w:rPr/>
        <w:t xml:space="preserve">(f) The extent to which a penalty to be imposed on a person for a violation committed by another should be reduced if the person was unaware of the violation and has not received a substantial economic benefit from the violation.</w:t>
      </w:r>
    </w:p>
    <w:p>
      <w:pPr>
        <w:spacing w:before="0" w:after="0" w:line="408" w:lineRule="exact"/>
        <w:ind w:left="0" w:right="0" w:firstLine="576"/>
        <w:jc w:val="left"/>
      </w:pPr>
      <w:r>
        <w:rPr/>
        <w:t xml:space="preserve">(7) This section does not apply to a project, or to that portion of a project, that has received a forest practices hydraulic project permit from the department of natural resources pursuant to chapter 76.09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apply for an administrative inspection warrant in either Thurston county superior court or the superior court in the county in which the hydraulic project is located. The court may issue an administrative inspection warrant where:</w:t>
      </w:r>
    </w:p>
    <w:p>
      <w:pPr>
        <w:spacing w:before="0" w:after="0" w:line="408" w:lineRule="exact"/>
        <w:ind w:left="0" w:right="0" w:firstLine="576"/>
        <w:jc w:val="left"/>
      </w:pPr>
      <w:r>
        <w:rPr/>
        <w:t xml:space="preserve">(a) Department personnel need to inspect the hydraulic project site to ensure compliance with this chapter or with rules adopted to implement this chapter; or</w:t>
      </w:r>
    </w:p>
    <w:p>
      <w:pPr>
        <w:spacing w:before="0" w:after="0" w:line="408" w:lineRule="exact"/>
        <w:ind w:left="0" w:right="0" w:firstLine="576"/>
        <w:jc w:val="left"/>
      </w:pPr>
      <w:r>
        <w:rPr/>
        <w:t xml:space="preserve">(b) Department personnel have probable cause to believe that a violation of this chapter or of the rules that implement this chapter is occurring or has occurred.</w:t>
      </w:r>
    </w:p>
    <w:p>
      <w:pPr>
        <w:spacing w:before="0" w:after="0" w:line="408" w:lineRule="exact"/>
        <w:ind w:left="0" w:right="0" w:firstLine="576"/>
        <w:jc w:val="left"/>
      </w:pPr>
      <w:r>
        <w:rPr/>
        <w:t xml:space="preserve">(2) This section does not apply to a project, or to that portion of a project, that has received a forest practices hydraulic project permit from the department of natural resources pursuant to chapter 76.09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disapprove an application for hydraulic project approval submitted by a person who has failed to comply with a final order issued pursuant to section 6 or 7 of this act or who has failed to pay civil penalties issued pursuant to section 8 of this act. Applications may be disapproved for up to one year from the issuance of a notice of intent to disapprove applications under this section, or until all outstanding civil penalties are paid and all outstanding notices to comply and stop work orders are complied with, whichever is longer.</w:t>
      </w:r>
    </w:p>
    <w:p>
      <w:pPr>
        <w:spacing w:before="0" w:after="0" w:line="408" w:lineRule="exact"/>
        <w:ind w:left="0" w:right="0" w:firstLine="576"/>
        <w:jc w:val="left"/>
      </w:pPr>
      <w:r>
        <w:rPr/>
        <w:t xml:space="preserve">(2) The department shall provide written notice of its intent to disapprove an application under this section to the applicant and to any authorized agent or landowner identified in the application.</w:t>
      </w:r>
    </w:p>
    <w:p>
      <w:pPr>
        <w:spacing w:before="0" w:after="0" w:line="408" w:lineRule="exact"/>
        <w:ind w:left="0" w:right="0" w:firstLine="576"/>
        <w:jc w:val="left"/>
      </w:pPr>
      <w:r>
        <w:rPr/>
        <w:t xml:space="preserve">(3) The disapproval period runs from thirty days following the date of actual notice of intent or when all administrative and judicial appeals, if any, have been exhausted.</w:t>
      </w:r>
    </w:p>
    <w:p>
      <w:pPr>
        <w:spacing w:before="0" w:after="0" w:line="408" w:lineRule="exact"/>
        <w:ind w:left="0" w:right="0" w:firstLine="576"/>
        <w:jc w:val="left"/>
      </w:pPr>
      <w:r>
        <w:rPr/>
        <w:t xml:space="preserve">(4) Any person provided the notice may seek review from the board by filing a request for review within thirty days of the date of the notice of intent to disapprove applications.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The remedies under this chapter are not exclusive and do not limit or abrogate any other civil or criminal penalty, remedy, or right available in law, equity, or statute.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2013 c 291 s 34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76.09.170, </w:t>
      </w:r>
      <w:r>
        <w:t>((</w:t>
      </w:r>
      <w:r>
        <w:rPr>
          <w:strike/>
        </w:rPr>
        <w:t xml:space="preserve">77.55.291</w:t>
      </w:r>
      <w:r>
        <w:t>))</w:t>
      </w:r>
      <w:r>
        <w:rPr/>
        <w:t xml:space="preserve"> </w:t>
      </w:r>
      <w:r>
        <w:rPr>
          <w:u w:val="single"/>
        </w:rPr>
        <w:t xml:space="preserve">section 8 of this act</w:t>
      </w:r>
      <w:r>
        <w:rPr/>
        <w:t xml:space="preserve">,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w:t>
      </w:r>
      <w:r>
        <w:rPr>
          <w:u w:val="single"/>
        </w:rPr>
        <w:t xml:space="preserve">, to issue a stop work order, to issue a notice to comply, to issue a civil penalty, or to issue a notice of intent to disapprove applications</w:t>
      </w:r>
      <w:r>
        <w:rPr/>
        <w:t xml:space="preserve">.</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23</w:t>
      </w:r>
      <w:r>
        <w:rPr/>
        <w:t xml:space="preserve"> RCW</w:t>
      </w:r>
      <w:r>
        <w:rPr/>
        <w:t xml:space="preserve"> to read as follows:</w:t>
      </w:r>
    </w:p>
    <w:p>
      <w:pPr>
        <w:spacing w:before="0" w:after="0" w:line="408" w:lineRule="exact"/>
        <w:ind w:left="0" w:right="0" w:firstLine="576"/>
        <w:jc w:val="left"/>
      </w:pPr>
      <w:r>
        <w:rPr/>
        <w:t xml:space="preserve">(1) The state conservation commission shall convene and facilitate the departments of ecology, agriculture, fish and wildlife, and natural resources, and the state conservation commission to work together cooperatively, efficiently, and productively on the expeditious construction of three demonstration projects. The legislature expects that the joint and contemporaneous participation of all these state agencies will expedite the permitting of these demonstration projects. The legislature further intends that the collaborative process that the stakeholder group creates, including local stakeholders among others, will be used as a model for river management throughout the state.</w:t>
      </w:r>
    </w:p>
    <w:p>
      <w:pPr>
        <w:spacing w:before="0" w:after="0" w:line="408" w:lineRule="exact"/>
        <w:ind w:left="0" w:right="0" w:firstLine="576"/>
        <w:jc w:val="left"/>
      </w:pPr>
      <w:r>
        <w:rPr/>
        <w:t xml:space="preserve">(2) The floodplain management strategies developed in the process in this section must address multiple benefits including: Reducing flood hazard to public infrastructure and other land uses caused by sediment accumulation or for other causes; improving fish and wildlife habitat; sustaining viable agriculture; and public access.</w:t>
      </w:r>
    </w:p>
    <w:p>
      <w:pPr>
        <w:spacing w:before="0" w:after="0" w:line="408" w:lineRule="exact"/>
        <w:ind w:left="0" w:right="0" w:firstLine="576"/>
        <w:jc w:val="left"/>
      </w:pPr>
      <w:r>
        <w:rPr/>
        <w:t xml:space="preserve">(3) The state conservation commission and the departments of agriculture, natural resources, fish and wildlife, and ecology must jointly identify and assess three demonstration projects that test the effectiveness and costs of river management by using various management strategies and techniques as applied to accomplish the following goals:</w:t>
      </w:r>
    </w:p>
    <w:p>
      <w:pPr>
        <w:spacing w:before="0" w:after="0" w:line="408" w:lineRule="exact"/>
        <w:ind w:left="0" w:right="0" w:firstLine="576"/>
        <w:jc w:val="left"/>
      </w:pPr>
      <w:r>
        <w:rPr/>
        <w:t xml:space="preserve">(a) Protection of agricultural lands;</w:t>
      </w:r>
    </w:p>
    <w:p>
      <w:pPr>
        <w:spacing w:before="0" w:after="0" w:line="408" w:lineRule="exact"/>
        <w:ind w:left="0" w:right="0" w:firstLine="576"/>
        <w:jc w:val="left"/>
      </w:pPr>
      <w:r>
        <w:rPr/>
        <w:t xml:space="preserve">(b) Restoration or enhancement of fish runs; and</w:t>
      </w:r>
    </w:p>
    <w:p>
      <w:pPr>
        <w:spacing w:before="0" w:after="0" w:line="408" w:lineRule="exact"/>
        <w:ind w:left="0" w:right="0" w:firstLine="576"/>
        <w:jc w:val="left"/>
      </w:pPr>
      <w:r>
        <w:rPr/>
        <w:t xml:space="preserve">(c) Protection of public infrastructure and recreational access.</w:t>
      </w:r>
    </w:p>
    <w:p>
      <w:pPr>
        <w:spacing w:before="0" w:after="0" w:line="408" w:lineRule="exact"/>
        <w:ind w:left="0" w:right="0" w:firstLine="576"/>
        <w:jc w:val="left"/>
      </w:pPr>
      <w:r>
        <w:rPr/>
        <w:t xml:space="preserve">(4)(a) The state conservation commission must convene and facilitate a stakeholder group consisting of the departments of agriculture, natural resources, fish and wildlife, and ecology, and the state conservation commission, local and statewide agricultural organizations and conservation districts, land conservation organizations, and local governments with interest and experience in floodplain management techniques. The stakeholder group must develop and assess three demonstration projects, one located in Whatcom county, one located in Snohomish county, and one located in Grays Harbor county. The departments must also seek the participation and the views of the federally recognized tribes that may be affected by each pilot project.</w:t>
      </w:r>
    </w:p>
    <w:p>
      <w:pPr>
        <w:spacing w:before="0" w:after="0" w:line="408" w:lineRule="exact"/>
        <w:ind w:left="0" w:right="0" w:firstLine="576"/>
        <w:jc w:val="left"/>
      </w:pPr>
      <w:r>
        <w:rPr/>
        <w:t xml:space="preserve">(b) The disposition of any gravel resources removed as a result of these pilot projects that are owned by the state must be consistent with chapter 79.140 RCW, otherwise they must be: (i) Used at the departments' discretion in projects related to fish programs in the local area of the project or by property owners adjacent to the project; (ii) made available to a local tribe for its use; or (iii) sold and the proceeds applied to funding the demonstration projects.</w:t>
      </w:r>
    </w:p>
    <w:p>
      <w:pPr>
        <w:spacing w:before="0" w:after="0" w:line="408" w:lineRule="exact"/>
        <w:ind w:left="0" w:right="0" w:firstLine="576"/>
        <w:jc w:val="left"/>
      </w:pPr>
      <w:r>
        <w:rPr/>
        <w:t xml:space="preserve">(5) At a minimum, the pilot projects must examine the following management strategies and techniques:</w:t>
      </w:r>
    </w:p>
    <w:p>
      <w:pPr>
        <w:spacing w:before="0" w:after="0" w:line="408" w:lineRule="exact"/>
        <w:ind w:left="0" w:right="0" w:firstLine="576"/>
        <w:jc w:val="left"/>
      </w:pPr>
      <w:r>
        <w:rPr/>
        <w:t xml:space="preserve">(a) Setting back levees and other measures to accommodate high flow with reduced risk to property, while providing space for river processes that are vital to the creation of fish habitat;</w:t>
      </w:r>
    </w:p>
    <w:p>
      <w:pPr>
        <w:spacing w:before="0" w:after="0" w:line="408" w:lineRule="exact"/>
        <w:ind w:left="0" w:right="0" w:firstLine="576"/>
        <w:jc w:val="left"/>
      </w:pPr>
      <w:r>
        <w:rPr/>
        <w:t xml:space="preserve">(b) Providing deeper, cooler holes for fish life;</w:t>
      </w:r>
    </w:p>
    <w:p>
      <w:pPr>
        <w:spacing w:before="0" w:after="0" w:line="408" w:lineRule="exact"/>
        <w:ind w:left="0" w:right="0" w:firstLine="576"/>
        <w:jc w:val="left"/>
      </w:pPr>
      <w:r>
        <w:rPr/>
        <w:t xml:space="preserve">(c) Removing excess sediment and gravel that causes diversion of water and erosion of river banks and farmland;</w:t>
      </w:r>
    </w:p>
    <w:p>
      <w:pPr>
        <w:spacing w:before="0" w:after="0" w:line="408" w:lineRule="exact"/>
        <w:ind w:left="0" w:right="0" w:firstLine="576"/>
        <w:jc w:val="left"/>
      </w:pPr>
      <w:r>
        <w:rPr/>
        <w:t xml:space="preserve">(d) Providing off-channels for habitat as refuge during high flows;</w:t>
      </w:r>
    </w:p>
    <w:p>
      <w:pPr>
        <w:spacing w:before="0" w:after="0" w:line="408" w:lineRule="exact"/>
        <w:ind w:left="0" w:right="0" w:firstLine="576"/>
        <w:jc w:val="left"/>
      </w:pPr>
      <w:r>
        <w:rPr/>
        <w:t xml:space="preserve">(e) Ensuring that any management activities leave sufficient gravel and sediment for fish spawning and rearing;</w:t>
      </w:r>
    </w:p>
    <w:p>
      <w:pPr>
        <w:spacing w:before="0" w:after="0" w:line="408" w:lineRule="exact"/>
        <w:ind w:left="0" w:right="0" w:firstLine="576"/>
        <w:jc w:val="left"/>
      </w:pPr>
      <w:r>
        <w:rPr/>
        <w:t xml:space="preserve">(f) Providing stable river banks that will allow for long-term growth of riparian enhancement efforts, such as planting shade trees and hedgerows;</w:t>
      </w:r>
    </w:p>
    <w:p>
      <w:pPr>
        <w:spacing w:before="0" w:after="0" w:line="408" w:lineRule="exact"/>
        <w:ind w:left="0" w:right="0" w:firstLine="576"/>
        <w:jc w:val="left"/>
      </w:pPr>
      <w:r>
        <w:rPr/>
        <w:t xml:space="preserve">(g) Protecting existing mature treed riparian zones that cool the waters;</w:t>
      </w:r>
    </w:p>
    <w:p>
      <w:pPr>
        <w:spacing w:before="0" w:after="0" w:line="408" w:lineRule="exact"/>
        <w:ind w:left="0" w:right="0" w:firstLine="576"/>
        <w:jc w:val="left"/>
      </w:pPr>
      <w:r>
        <w:rPr/>
        <w:t xml:space="preserve">(h) Restoring previously existing bank contours that protect the land from erosion caused by more intense and more frequent flooding; and</w:t>
      </w:r>
    </w:p>
    <w:p>
      <w:pPr>
        <w:spacing w:before="0" w:after="0" w:line="408" w:lineRule="exact"/>
        <w:ind w:left="0" w:right="0" w:firstLine="576"/>
        <w:jc w:val="left"/>
      </w:pPr>
      <w:r>
        <w:rPr/>
        <w:t xml:space="preserve">(i) Developing management practices that reduce the amount of gravel, sediment, and woody debris deposited into farm fields.</w:t>
      </w:r>
    </w:p>
    <w:p>
      <w:pPr>
        <w:spacing w:before="0" w:after="0" w:line="408" w:lineRule="exact"/>
        <w:ind w:left="0" w:right="0" w:firstLine="576"/>
        <w:jc w:val="left"/>
      </w:pPr>
      <w:r>
        <w:rPr/>
        <w:t xml:space="preserve">(6) By December 31, 2020, the state conservation commission must coordinate the development of a report to the legislative committees with oversight of agriculture, water, rural economic development, ecology, fish and wildlife, and natural resources. The report should include the input of all state agencies, tribes, local entities, and stakeholders participating in, or commenting on, the process identified in this section. The report must include, but not be limited to, the following elements: (a) Their progress toward setting benchmarks and meeting the stakeholder group's timetable; (b) any decisions made in assessing the projects; and (c) agency recommendations for funding of the projects from federal grants, federal loans, state grants and loans, and private donations, or if other funding sources are not available or complete, submitting the three projects for consideration in the biennial capital budget request to the governor and the legislature. The departments must report annually thereafter by December 31st of each year.</w:t>
      </w:r>
    </w:p>
    <w:p>
      <w:pPr>
        <w:spacing w:before="0" w:after="0" w:line="408" w:lineRule="exact"/>
        <w:ind w:left="0" w:right="0" w:firstLine="576"/>
        <w:jc w:val="left"/>
      </w:pPr>
      <w:r>
        <w:rPr/>
        <w:t xml:space="preserve">(7) The stakeholder group must be staffed jointly by the departments.</w:t>
      </w:r>
    </w:p>
    <w:p>
      <w:pPr>
        <w:spacing w:before="0" w:after="0" w:line="408" w:lineRule="exact"/>
        <w:ind w:left="0" w:right="0" w:firstLine="576"/>
        <w:jc w:val="left"/>
      </w:pPr>
      <w:r>
        <w:rPr/>
        <w:t xml:space="preserve">(8) Within amounts appropriated in the omnibus operating appropriations act, the state conservation commission, the department of ecology, the department of agriculture, the department of fish and wildlife, and the department of natural resources shall implement all requirements in this section.</w:t>
      </w:r>
    </w:p>
    <w:p>
      <w:pPr>
        <w:spacing w:before="0" w:after="0" w:line="408" w:lineRule="exact"/>
        <w:ind w:left="0" w:right="0" w:firstLine="576"/>
        <w:jc w:val="left"/>
      </w:pPr>
      <w:r>
        <w:rPr/>
        <w:t xml:space="preserve">(9)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77</w:t>
      </w:r>
      <w:r>
        <w:rPr/>
        <w:t xml:space="preserve">.</w:t>
      </w:r>
      <w:r>
        <w:t xml:space="preserve">55</w:t>
      </w:r>
      <w:r>
        <w:rPr/>
        <w:t xml:space="preserve">.</w:t>
      </w:r>
      <w:r>
        <w:t xml:space="preserve">141</w:t>
      </w:r>
      <w:r>
        <w:rPr/>
        <w:t xml:space="preserve"> (Marine beach front protective bulkheads or rockwalls) and 2010 c 210 s 28, 2005 c 146 s 501, &amp; 1991 c 279 s 1; and</w:t>
      </w:r>
    </w:p>
    <w:p>
      <w:pPr>
        <w:spacing w:before="0" w:after="0" w:line="408" w:lineRule="exact"/>
        <w:ind w:left="0" w:right="0" w:firstLine="576"/>
        <w:jc w:val="left"/>
      </w:pPr>
      <w:r>
        <w:t>(2)</w:t>
      </w:r>
      <w:r>
        <w:rPr/>
        <w:t xml:space="preserve">RCW </w:t>
      </w:r>
      <w:r>
        <w:t xml:space="preserve">77</w:t>
      </w:r>
      <w:r>
        <w:rPr/>
        <w:t xml:space="preserve">.</w:t>
      </w:r>
      <w:r>
        <w:t xml:space="preserve">55</w:t>
      </w:r>
      <w:r>
        <w:rPr/>
        <w:t xml:space="preserve">.</w:t>
      </w:r>
      <w:r>
        <w:t xml:space="preserve">291</w:t>
      </w:r>
      <w:r>
        <w:rPr/>
        <w:t xml:space="preserve"> (Civil penalty) and 2010 c 210 s 31, 2005 c 146 s 701, 2000 c 107 s 19, 1993 sp.s. c 2 s 35, 1988 c 36 s 35, &amp; 1986 c 173 s 6."</w:t>
      </w:r>
    </w:p>
    <w:p>
      <w:pPr>
        <w:spacing w:before="480" w:after="0" w:line="408" w:lineRule="exact"/>
      </w:pPr>
      <w:r>
        <w:rPr>
          <w:b/>
          <w:u w:val="single"/>
        </w:rPr>
        <w:t xml:space="preserve">2SHB 1579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04/10/2019</w:t>
      </w:r>
    </w:p>
    <w:p>
      <w:pPr>
        <w:spacing w:before="0" w:after="0" w:line="408" w:lineRule="exact"/>
        <w:ind w:left="0" w:right="0" w:firstLine="576"/>
        <w:jc w:val="left"/>
      </w:pPr>
      <w:r>
        <w:rPr/>
        <w:t xml:space="preserve">On page 1, line 3 of the title, after "abundance;" strike the remainder of the title and insert "amending RCW 77.32.010 and 43.21B.110; adding a new section to chapter 77.08 RCW; adding new sections to chapter 77.55 RCW; adding a new section to chapter 43.23 RCW; creating a new section; repealing RCW 77.55.141 and 77.55.291; prescribing penalties; and providing an expiration date."</w:t>
      </w:r>
    </w:p>
    <w:p>
      <w:pPr>
        <w:spacing w:before="0" w:after="0" w:line="408" w:lineRule="exact"/>
        <w:ind w:left="0" w:right="0" w:firstLine="576"/>
        <w:jc w:val="left"/>
      </w:pPr>
      <w:r>
        <w:rPr>
          <w:u w:val="single"/>
        </w:rPr>
        <w:t xml:space="preserve">EFFECT:</w:t>
      </w:r>
      <w:r>
        <w:rPr/>
        <w:t xml:space="preserve"> Specifies that the Department of Fish and Wildlife may levy civil penalties up to $10,000 if the section authorizing three demonstration projects is enacted into law by June 30, 2019. If the section authorizing three demonstration projects is not enacted into law by June 30, 2019, the Department of Fish and Wildlife may levy civil penalties up to $100. Clarifies the process for convening state agencies and stakeholders to conduct three demonstration projects and report findings to the Legislature by December 31, 2020. Provides that agencies must implement the demonstration projects within the amounts appropriated in the omnibus operating appropriations act and expires the demonstration projects on June 30, 2030.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7c47f9c8134db7" /></Relationships>
</file>