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3000dfacf43e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1638.E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S3889.1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EHB 1638</w:t>
      </w:r>
      <w:r>
        <w:t xml:space="preserve"> -</w:t>
      </w:r>
      <w:r>
        <w:t xml:space="preserve"> </w:t>
        <w:t xml:space="preserve">S AMD TO HLTC COMM AMD (S-3367.1/19)</w:t>
      </w:r>
      <w:r>
        <w:t xml:space="preserve"> </w:t>
      </w:r>
      <w:r>
        <w:rPr>
          <w:b/>
        </w:rPr>
        <w:t xml:space="preserve">537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04/17/2019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9, after "vaccine" insert "</w:t>
      </w:r>
      <w:r>
        <w:rPr>
          <w:u w:val="single"/>
        </w:rPr>
        <w:t xml:space="preserve">. A child with a family history of vaccine injury shall qualify for the medical exemption in this subsection, provided that a health care practitioner confirms the family history of vaccine injury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children with a family history of vaccine injury to meet the medical exemption to vaccination.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3fc9c1df8427e" /></Relationships>
</file>