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cf1f992d45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S3891.1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1638</w:t>
      </w:r>
      <w:r>
        <w:t xml:space="preserve"> -</w:t>
      </w:r>
      <w:r>
        <w:t xml:space="preserve"> </w:t>
        <w:t xml:space="preserve">S AMD TO HLTC COMM AMD (S-3367.1/19)</w:t>
      </w:r>
      <w:r>
        <w:t xml:space="preserve"> </w:t>
      </w:r>
      <w:r>
        <w:rPr>
          <w:b/>
        </w:rPr>
        <w:t xml:space="preserve">538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39, after "(3)" insert "</w:t>
      </w:r>
      <w:r>
        <w:rPr>
          <w:u w:val="single"/>
        </w:rPr>
        <w:t xml:space="preserve">A parent or legal guardian of a child or any adult in loco parentis to a child may continue to utilize an exemption through a personal or philosophical objection to the immunization of a child for a child enrolled in grades nine through twelve if the child has been granted, prior to the effective date of this section, an exemption through a personal or philosophical objection under this section, as it existed prior to the effective date of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high school students who are currently exempt from immunization based on a personal or philosophical exemption to continue to use the exemption until graduation.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725e3f5494218" /></Relationships>
</file>