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976a9b044c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S3474.1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1638</w:t>
      </w:r>
      <w:r>
        <w:t xml:space="preserve"> -</w:t>
      </w:r>
      <w:r>
        <w:t xml:space="preserve"> </w:t>
        <w:t xml:space="preserve">S AMD TO HLTC COMM AMD (S-3367.1/19)</w:t>
      </w:r>
      <w:r>
        <w:t xml:space="preserve"> </w:t>
      </w:r>
      <w:r>
        <w:rPr>
          <w:b/>
        </w:rPr>
        <w:t xml:space="preserve">741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"18.57A RCW," strike "or" and insert "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"18.79 RCW" insert "</w:t>
      </w:r>
      <w:r>
        <w:rPr>
          <w:u w:val="single"/>
        </w:rPr>
        <w:t xml:space="preserve">, or a physician, naturopath, physician assistant, or advanced registered nurse practitioner licensed in another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Expands the definition of "health care practitioner" to include practitioners licensed in other states.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852820ffd411e" /></Relationships>
</file>