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6b3a20fe14d99" /></Relationships>
</file>

<file path=word/document.xml><?xml version="1.0" encoding="utf-8"?>
<w:document xmlns:w="http://schemas.openxmlformats.org/wordprocessingml/2006/main">
  <w:body>
    <w:p>
      <w:r>
        <w:rPr>
          <w:b/>
        </w:rPr>
        <w:r>
          <w:rPr/>
          <w:t xml:space="preserve">1768-S.E</w:t>
        </w:r>
      </w:r>
      <w:r>
        <w:rPr>
          <w:b/>
        </w:rPr>
        <w:t xml:space="preserve"> </w:t>
        <w:t xml:space="preserve">AMS</w:t>
      </w:r>
      <w:r>
        <w:rPr>
          <w:b/>
        </w:rPr>
        <w:t xml:space="preserve"> </w:t>
        <w:r>
          <w:rPr/>
          <w:t xml:space="preserve">DHIN</w:t>
        </w:r>
      </w:r>
      <w:r>
        <w:rPr>
          <w:b/>
        </w:rPr>
        <w:t xml:space="preserve"> </w:t>
        <w:r>
          <w:rPr/>
          <w:t xml:space="preserve">S4340.1</w:t>
        </w:r>
      </w:r>
      <w:r>
        <w:rPr>
          <w:b/>
        </w:rPr>
        <w:t xml:space="preserve"> - NOT FOR FLOOR USE</w:t>
      </w:r>
    </w:p>
    <w:p>
      <w:pPr>
        <w:ind w:left="0" w:right="0" w:firstLine="576"/>
      </w:pPr>
    </w:p>
    <w:p>
      <w:pPr>
        <w:spacing w:before="480" w:after="0" w:line="408" w:lineRule="exact"/>
      </w:pPr>
      <w:r>
        <w:rPr>
          <w:b/>
          <w:u w:val="single"/>
        </w:rPr>
        <w:t xml:space="preserve">ESHB 1768</w:t>
      </w:r>
      <w:r>
        <w:t xml:space="preserve"> -</w:t>
      </w:r>
      <w:r>
        <w:t xml:space="preserve"> </w:t>
        <w:t xml:space="preserve">S AMD TO S AMD (S-4327.1/19)</w:t>
      </w:r>
      <w:r>
        <w:t xml:space="preserve"> </w:t>
      </w:r>
      <w:r>
        <w:rPr>
          <w:b/>
        </w:rPr>
        <w:t xml:space="preserve">734</w:t>
      </w:r>
    </w:p>
    <w:p>
      <w:pPr>
        <w:spacing w:before="0" w:after="0" w:line="408" w:lineRule="exact"/>
        <w:ind w:left="0" w:right="0" w:firstLine="576"/>
        <w:jc w:val="left"/>
      </w:pPr>
      <w:r>
        <w:rPr/>
        <w:t xml:space="preserve">By Senator Dhingra</w:t>
      </w:r>
    </w:p>
    <w:p>
      <w:pPr>
        <w:jc w:val="right"/>
      </w:pPr>
      <w:r>
        <w:rPr>
          <w:b/>
        </w:rPr>
        <w:t xml:space="preserve">PULLED 04/17/2019</w:t>
      </w:r>
    </w:p>
    <w:p>
      <w:pPr>
        <w:spacing w:before="0" w:after="0" w:line="408" w:lineRule="exact"/>
        <w:ind w:left="0" w:right="0" w:firstLine="576"/>
        <w:jc w:val="left"/>
      </w:pPr>
      <w:r>
        <w:rPr/>
        <w:t xml:space="preserve">Beginning on page 48, line 29, strike all of sections 21 and 22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0" w:after="0" w:line="408" w:lineRule="exact"/>
        <w:ind w:left="0" w:right="0" w:firstLine="576"/>
        <w:jc w:val="left"/>
      </w:pPr>
      <w:r>
        <w:rPr>
          <w:u w:val="single"/>
        </w:rPr>
        <w:t xml:space="preserve">(9)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u w:val="single"/>
        </w:rPr>
        <w:t xml:space="preserve">(4)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(5)</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0" w:after="0" w:line="408" w:lineRule="exact"/>
        <w:ind w:left="0" w:right="0" w:firstLine="576"/>
        <w:jc w:val="left"/>
      </w:pPr>
      <w:r>
        <w:rPr/>
        <w:t xml:space="preserve">Beginning on page 54, line 7, strike all of section 24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w:t>
      </w:r>
      <w:r>
        <w:rPr>
          <w:u w:val="single"/>
        </w:rPr>
        <w:t xml:space="preserve">, section 23 of this act, and section 31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0" w:after="0" w:line="408" w:lineRule="exact"/>
        <w:ind w:left="0" w:right="0" w:firstLine="576"/>
        <w:jc w:val="left"/>
      </w:pPr>
      <w:r>
        <w:rPr/>
        <w:t xml:space="preserve">On page 59,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registration under this chapter for a position as an agency affiliated counselor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2013 c 338 s 6 are each amended to read as follows:</w:t>
      </w:r>
    </w:p>
    <w:p>
      <w:pPr>
        <w:spacing w:before="0" w:after="0" w:line="408" w:lineRule="exact"/>
        <w:ind w:left="0" w:right="0" w:firstLine="576"/>
        <w:jc w:val="left"/>
      </w:pPr>
      <w:r>
        <w:rPr/>
        <w:t xml:space="preserve">(1)(a) An applicant for registration as an agency affiliated counselor who applies to the department within </w:t>
      </w:r>
      <w:r>
        <w:t>((</w:t>
      </w:r>
      <w:r>
        <w:rPr>
          <w:strike/>
        </w:rPr>
        <w:t xml:space="preserve">seven</w:t>
      </w:r>
      <w:r>
        <w:t>))</w:t>
      </w:r>
      <w:r>
        <w:rPr/>
        <w:t xml:space="preserve"> </w:t>
      </w:r>
      <w:r>
        <w:rPr>
          <w:u w:val="single"/>
        </w:rPr>
        <w:t xml:space="preserve">thirty</w:t>
      </w:r>
      <w:r>
        <w:rPr/>
        <w:t xml:space="preserve"> days of employment by an agency may work as an agency affiliated counselor </w:t>
      </w:r>
      <w:r>
        <w:t>((</w:t>
      </w:r>
      <w:r>
        <w:rPr>
          <w:strike/>
        </w:rPr>
        <w:t xml:space="preserve">for up to sixty days</w:t>
      </w:r>
      <w:r>
        <w:t>))</w:t>
      </w:r>
      <w:r>
        <w:rPr/>
        <w:t xml:space="preserve"> while the application is processed. The applicant must </w:t>
      </w:r>
      <w:r>
        <w:t>((</w:t>
      </w:r>
      <w:r>
        <w:rPr>
          <w:strike/>
        </w:rPr>
        <w:t xml:space="preserve">stop working on the sixtieth day of employment if the registration has not been granted for any reason</w:t>
      </w:r>
      <w:r>
        <w:t>))</w:t>
      </w:r>
      <w:r>
        <w:rPr/>
        <w:t xml:space="preserve"> </w:t>
      </w:r>
      <w:r>
        <w:rPr>
          <w:u w:val="single"/>
        </w:rPr>
        <w:t xml:space="preserve">provide required documentation within reasonable time limits established by the department, and if the applicant does not do so, the applicant must stop working</w:t>
      </w:r>
      <w:r>
        <w:rPr/>
        <w:t xml:space="preserve">.</w:t>
      </w:r>
    </w:p>
    <w:p>
      <w:pPr>
        <w:spacing w:before="0" w:after="0" w:line="408" w:lineRule="exact"/>
        <w:ind w:left="0" w:right="0" w:firstLine="576"/>
        <w:jc w:val="left"/>
      </w:pPr>
      <w:r>
        <w:rPr/>
        <w:t xml:space="preserve">(b) The applicant may not provide unsupervised counseling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"Peer support services" means services authorized under RCW 71.24.385 which are delivered by individuals who have common life experiences with the people they are serving.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administer a peer counselor certification program to support the delivery of peer support services in Washington state.</w:t>
      </w:r>
    </w:p>
    <w:p>
      <w:pPr>
        <w:spacing w:before="0" w:after="0" w:line="408" w:lineRule="exact"/>
        <w:ind w:left="0" w:right="0" w:firstLine="576"/>
        <w:jc w:val="left"/>
      </w:pPr>
      <w:r>
        <w:rPr/>
        <w:t xml:space="preserve">(2) By July 1, 2019, the authority shall incorporate education and training for substance use disorder peers in its peer counselor certification program.</w:t>
      </w:r>
    </w:p>
    <w:p>
      <w:pPr>
        <w:spacing w:before="0" w:after="0" w:line="408" w:lineRule="exact"/>
        <w:ind w:left="0" w:right="0" w:firstLine="576"/>
        <w:jc w:val="left"/>
      </w:pPr>
      <w:r>
        <w:rPr/>
        <w:t xml:space="preserve">(3) By July 1, 2019, the authority must include reimbursement for peer support services by substance use disorder peers in its behavioral health capitation rates and allow for federal matching funds, consistent with the directive enacted in section 213(5)(ss), chapter 299, Laws of 2018 (ESSB 6032).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an adequate workforce of peer counselors, the authority must approve entities to perform specialized peer training for peer counselor certification using the state curriculum upon request if the entity meets qualifications to perform the training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cooperate with the department of health to complete the sunrise review required under section 37 of this act.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conduct a sunrise review under chapter 18.120 RCW to evaluate transfer of the peer support counselor certification program under this chapter to the department of health with modifications to allow the program to become a license or certification under the oversight of the department of health subject to oversight, structure, discipline, and continuing education requirements typical of other programs related to behavioral health administered by the department of health. The plan for modification of the program must allow for grandfathering of current individuals who hold the peer support counselor certification. The sunrise review must evaluate the effect of these modifications on professionalism, portability, scope of practice, approved practice locations, workforce, bidirectional integration, and appropriate deployment of peer support services throughout the health system.</w:t>
      </w:r>
    </w:p>
    <w:p>
      <w:pPr>
        <w:spacing w:before="0" w:after="0" w:line="408" w:lineRule="exact"/>
        <w:ind w:left="0" w:right="0" w:firstLine="576"/>
        <w:jc w:val="left"/>
      </w:pPr>
      <w:r>
        <w:rPr/>
        <w:t xml:space="preserve">(2) The department of health shall conduct a sunrise review under chapter 18.120 RCW to evaluate the need for creation of an advanced peer support specialist credential to provide a license to perform peer support services in the areas of mental health, substance use disorders, and forensic behavioral health. The requirements for this credential must be accessible to persons in recovery and:</w:t>
      </w:r>
    </w:p>
    <w:p>
      <w:pPr>
        <w:spacing w:before="0" w:after="0" w:line="408" w:lineRule="exact"/>
        <w:ind w:left="0" w:right="0" w:firstLine="576"/>
        <w:jc w:val="left"/>
      </w:pPr>
      <w:r>
        <w:rPr/>
        <w:t xml:space="preserve">(a) Integrate with and complement the attributes of the peer counselor certification program administered by the Washington state health care authority under section 33 of this act;</w:t>
      </w:r>
    </w:p>
    <w:p>
      <w:pPr>
        <w:spacing w:before="0" w:after="0" w:line="408" w:lineRule="exact"/>
        <w:ind w:left="0" w:right="0" w:firstLine="576"/>
        <w:jc w:val="left"/>
      </w:pPr>
      <w:r>
        <w:rPr/>
        <w:t xml:space="preserve">(b) Provide education, experience, and training requirements that are more stringent than the requirements for the peer counselor certification program but less extensive than the requirements for licensure or certification under other credentials related to behavioral health which are administered by the department of health;</w:t>
      </w:r>
    </w:p>
    <w:p>
      <w:pPr>
        <w:spacing w:before="0" w:after="0" w:line="408" w:lineRule="exact"/>
        <w:ind w:left="0" w:right="0" w:firstLine="576"/>
        <w:jc w:val="left"/>
      </w:pPr>
      <w:r>
        <w:rPr/>
        <w:t xml:space="preserve">(c) Provide oversight, structure, discipline, and continuing education requirements typical for other professional licenses and certifications;</w:t>
      </w:r>
    </w:p>
    <w:p>
      <w:pPr>
        <w:spacing w:before="0" w:after="0" w:line="408" w:lineRule="exact"/>
        <w:ind w:left="0" w:right="0" w:firstLine="576"/>
        <w:jc w:val="left"/>
      </w:pPr>
      <w:r>
        <w:rPr/>
        <w:t xml:space="preserve">(d) Allow advanced peer support specialists to maximize the scope of practice suitable to their skills, lived experience, education, and training;</w:t>
      </w:r>
    </w:p>
    <w:p>
      <w:pPr>
        <w:spacing w:before="0" w:after="0" w:line="408" w:lineRule="exact"/>
        <w:ind w:left="0" w:right="0" w:firstLine="576"/>
        <w:jc w:val="left"/>
      </w:pPr>
      <w:r>
        <w:rPr/>
        <w:t xml:space="preserve">(e) Allow advanced peer support specialists to practice and receive reimbursement in behavioral health capitation rates in the full range of settings in which clients receive behavioral health services which are appropriate for their participation;</w:t>
      </w:r>
    </w:p>
    <w:p>
      <w:pPr>
        <w:spacing w:before="0" w:after="0" w:line="408" w:lineRule="exact"/>
        <w:ind w:left="0" w:right="0" w:firstLine="576"/>
        <w:jc w:val="left"/>
      </w:pPr>
      <w:r>
        <w:rPr/>
        <w:t xml:space="preserve">(f) Provide a path for career progression to more advanced credentials for those who are interested in pursuing them; and</w:t>
      </w:r>
    </w:p>
    <w:p>
      <w:pPr>
        <w:spacing w:before="0" w:after="0" w:line="408" w:lineRule="exact"/>
        <w:ind w:left="0" w:right="0" w:firstLine="576"/>
        <w:jc w:val="left"/>
      </w:pPr>
      <w:r>
        <w:rPr/>
        <w:t xml:space="preserve">(g) Incorporate consideration of common barriers to certification and licensure related to criminal history and recovery from behavioral health disorders experienced by peers and accommodate applicants who have these lived experiences to the greatest extent consistent with prudence and client safety.</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33 through 37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33 through 38 of this act are necessary for the immediate preservation of the public peace, health, or safety, or support of the state government and its existing public institutions, and take effect July 1, 2019."</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1768</w:t>
      </w:r>
      <w:r>
        <w:t xml:space="preserve"> -</w:t>
      </w:r>
      <w:r>
        <w:t xml:space="preserve"> </w:t>
        <w:t xml:space="preserve">S AMD TO S AMD (S-4327.1/19)</w:t>
      </w:r>
      <w:r>
        <w:t xml:space="preserve"> </w:t>
      </w:r>
      <w:r>
        <w:rPr>
          <w:b/>
        </w:rPr>
        <w:t xml:space="preserve">734</w:t>
      </w:r>
    </w:p>
    <w:p>
      <w:pPr>
        <w:spacing w:before="0" w:after="0" w:line="408" w:lineRule="exact"/>
        <w:ind w:left="0" w:right="0" w:firstLine="576"/>
        <w:jc w:val="left"/>
      </w:pPr>
      <w:r>
        <w:rPr/>
        <w:t xml:space="preserve">By Senator Dhingra</w:t>
      </w:r>
    </w:p>
    <w:p>
      <w:pPr>
        <w:jc w:val="right"/>
      </w:pPr>
      <w:r>
        <w:rPr>
          <w:b/>
        </w:rPr>
        <w:t xml:space="preserve">PULLED 04/17/2019</w:t>
      </w:r>
    </w:p>
    <w:p>
      <w:pPr>
        <w:spacing w:before="0" w:after="0" w:line="408" w:lineRule="exact"/>
        <w:ind w:left="0" w:right="0" w:firstLine="576"/>
        <w:jc w:val="left"/>
      </w:pPr>
      <w:r>
        <w:rPr/>
        <w:t xml:space="preserve">On page 59, line 22, after "43.43.842," strike "and 18.130.055" and insert "18.130.055, and 18.19.210"</w:t>
      </w:r>
    </w:p>
    <w:p>
      <w:pPr>
        <w:spacing w:before="0" w:after="0" w:line="408" w:lineRule="exact"/>
        <w:ind w:left="0" w:right="0" w:firstLine="576"/>
        <w:jc w:val="left"/>
      </w:pPr>
      <w:r>
        <w:rPr/>
        <w:t xml:space="preserve">On page 59, line 25, after "RCW;" insert "adding a new section to chapter 18.19 RCW; adding a new chapter to Title 70 RCW;"</w:t>
      </w:r>
    </w:p>
    <w:p>
      <w:pPr>
        <w:spacing w:before="0" w:after="0" w:line="408" w:lineRule="exact"/>
        <w:ind w:left="0" w:right="0" w:firstLine="576"/>
        <w:jc w:val="left"/>
      </w:pPr>
      <w:r>
        <w:rPr/>
        <w:t xml:space="preserve">On page 59, beginning on line 25, after "dates;" strike all material through "dates" on line 26 and insert "providing expiration dates; and declaring an emergency"</w:t>
      </w:r>
    </w:p>
    <w:p>
      <w:pPr>
        <w:spacing w:before="0" w:after="0" w:line="408" w:lineRule="exact"/>
        <w:ind w:left="0" w:right="0" w:firstLine="576"/>
        <w:jc w:val="left"/>
      </w:pPr>
      <w:r>
        <w:rPr>
          <w:u w:val="single"/>
        </w:rPr>
        <w:t xml:space="preserve">EFFECT:</w:t>
      </w:r>
      <w:r>
        <w:rPr/>
        <w:t xml:space="preserve"> This amendment adds the provisions of the SHB 1529 Behavioral Health Subcommittee striking amendment to the floor striking amendment for ESHB 1768 with the following effect:</w:t>
      </w:r>
    </w:p>
    <w:p>
      <w:pPr>
        <w:spacing w:before="0" w:after="0" w:line="408" w:lineRule="exact"/>
        <w:ind w:left="0" w:right="0" w:firstLine="576"/>
        <w:jc w:val="left"/>
      </w:pPr>
      <w:r>
        <w:rPr/>
        <w:t xml:space="preserve">(1) Prohibits the Department of Health (DOH) from requiring an applicant for registration as an agency-affiliated counselor (AAC) for the purpose of work as a peer counselor to participate in a voluntary substance abuse monitoring program as a condition of registration if the person has at least one year of recovery from a substance use disorder.</w:t>
      </w:r>
    </w:p>
    <w:p>
      <w:pPr>
        <w:spacing w:before="0" w:after="0" w:line="408" w:lineRule="exact"/>
        <w:ind w:left="0" w:right="0" w:firstLine="576"/>
        <w:jc w:val="left"/>
      </w:pPr>
      <w:r>
        <w:rPr/>
        <w:t xml:space="preserve">(2) Prohibits DOH and certain employers from automatically denying applications for registration as an AAC or employment as a peer counselor based on a history of theft 2 or 3, assault 4, prostitution, or forgery if the offense was the result of a substance use disorder or untreated mental illness and the person has at least one year of recovery.</w:t>
      </w:r>
    </w:p>
    <w:p>
      <w:pPr>
        <w:spacing w:before="0" w:after="0" w:line="408" w:lineRule="exact"/>
        <w:ind w:left="0" w:right="0" w:firstLine="576"/>
        <w:jc w:val="left"/>
      </w:pPr>
      <w:r>
        <w:rPr/>
        <w:t xml:space="preserve">(3) Directs the Health Care Authority to certify substance use disorder peer counselors and to include reimbursement for substance use disorder peer services in the Medicaid state plan.</w:t>
      </w:r>
    </w:p>
    <w:p>
      <w:pPr>
        <w:spacing w:before="0" w:after="0" w:line="408" w:lineRule="exact"/>
        <w:ind w:left="0" w:right="0" w:firstLine="576"/>
        <w:jc w:val="left"/>
      </w:pPr>
      <w:r>
        <w:rPr/>
        <w:t xml:space="preserve">(4) Directs DOH to conduct sunrise reviews to evaluate transfer of the current peer support counselor certification program to DOH with modifications to establish oversight and disciplinary authority and to evaluate the need for creation of an advanced peer support specialist credential that provides more stringent requirements and provides a path for career progression to more advanced credentials.</w:t>
      </w:r>
    </w:p>
    <w:p>
      <w:pPr>
        <w:spacing w:before="0" w:after="0" w:line="408" w:lineRule="exact"/>
        <w:ind w:left="0" w:right="0" w:firstLine="576"/>
        <w:jc w:val="left"/>
      </w:pPr>
      <w:r>
        <w:rPr/>
        <w:t xml:space="preserve">(5) Removes a 60-day time limit for an applicant for registration as an AAC to work while their application is pending with DOH.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12ea7719049f4" /></Relationships>
</file>