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9a540fc914fb9" /></Relationships>
</file>

<file path=word/document.xml><?xml version="1.0" encoding="utf-8"?>
<w:document xmlns:w="http://schemas.openxmlformats.org/wordprocessingml/2006/main">
  <w:body>
    <w:p>
      <w:r>
        <w:rPr>
          <w:b/>
        </w:rPr>
        <w:r>
          <w:rPr/>
          <w:t xml:space="preserve">1817-S.E</w:t>
        </w:r>
      </w:r>
      <w:r>
        <w:rPr>
          <w:b/>
        </w:rPr>
        <w:t xml:space="preserve"> </w:t>
        <w:t xml:space="preserve">AMS</w:t>
      </w:r>
      <w:r>
        <w:rPr>
          <w:b/>
        </w:rPr>
        <w:t xml:space="preserve"> </w:t>
        <w:r>
          <w:rPr/>
          <w:t xml:space="preserve">LBRC</w:t>
        </w:r>
      </w:r>
      <w:r>
        <w:rPr>
          <w:b/>
        </w:rPr>
        <w:t xml:space="preserve"> </w:t>
        <w:r>
          <w:rPr/>
          <w:t xml:space="preserve">S3312.1</w:t>
        </w:r>
      </w:r>
      <w:r>
        <w:rPr>
          <w:b/>
        </w:rPr>
        <w:t xml:space="preserve"> - NOT FOR FLOOR USE</w:t>
      </w:r>
    </w:p>
    <w:p>
      <w:pPr>
        <w:ind w:left="0" w:right="0" w:firstLine="576"/>
      </w:pPr>
    </w:p>
    <w:p>
      <w:pPr>
        <w:spacing w:before="480" w:after="0" w:line="408" w:lineRule="exact"/>
      </w:pPr>
      <w:r>
        <w:rPr>
          <w:b/>
          <w:u w:val="single"/>
        </w:rPr>
        <w:t xml:space="preserve">ESHB 1817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section 3 of this act.</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consistent with the prevailing hourly wage rate for a journeyperson in the applicable occupation and geographic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(2)(a) The department in consultation with the Washington state apprenticeship and training council shall approve a curriculum of in-person classroom and laboratory instruction for approved advanced safety training for workers at high hazard facilities.</w:t>
      </w:r>
    </w:p>
    <w:p>
      <w:pPr>
        <w:spacing w:before="0" w:after="0" w:line="408" w:lineRule="exact"/>
        <w:ind w:left="0" w:right="0" w:firstLine="576"/>
        <w:jc w:val="left"/>
      </w:pPr>
      <w:r>
        <w:rPr/>
        <w:t xml:space="preserve">(b) The safety training must be provided by a training provider, which may include a registered apprenticeship program, approved by the department. The department must periodically review and revise the curriculum to reflect current best practices.</w:t>
      </w:r>
    </w:p>
    <w:p>
      <w:pPr>
        <w:spacing w:before="0" w:after="0" w:line="408" w:lineRule="exact"/>
        <w:ind w:left="0" w:right="0" w:firstLine="576"/>
        <w:jc w:val="left"/>
      </w:pPr>
      <w:r>
        <w:rPr/>
        <w:t xml:space="preserve">(c) Upon receipt of certification from the approved training provider, the department must issue a certificate to a worker who completes the approved curriculum.</w:t>
      </w:r>
    </w:p>
    <w:p>
      <w:pPr>
        <w:spacing w:before="0" w:after="0" w:line="408" w:lineRule="exact"/>
        <w:ind w:left="0" w:right="0" w:firstLine="576"/>
        <w:jc w:val="left"/>
      </w:pPr>
      <w:r>
        <w:rPr/>
        <w:t xml:space="preserve">(d) The department may accept a certificate or other documentation issued by another state if the department finds that the curriculum and documentation of the other state meets the requirements of this subsection.</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0" w:after="0" w:line="408" w:lineRule="exact"/>
        <w:ind w:left="0" w:right="0" w:firstLine="576"/>
        <w:jc w:val="left"/>
      </w:pPr>
      <w:r>
        <w:rPr/>
        <w:t xml:space="preserve">(6) The requirements of this section do not make the work described in subsection (1) of this section a public work within the meaning of RCW 39.04.010.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of section 2 of this act for a skilled and trained workforce to perform all on-site work within an apprenticeable occupation in the building and construction trades:</w:t>
      </w:r>
    </w:p>
    <w:p>
      <w:pPr>
        <w:spacing w:before="0" w:after="0" w:line="408" w:lineRule="exact"/>
        <w:ind w:left="0" w:right="0" w:firstLine="576"/>
        <w:jc w:val="left"/>
      </w:pPr>
      <w:r>
        <w:rPr/>
        <w:t xml:space="preserve">(1)(a) By January 1, 2021, at least twenty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(b) By January 1, 2022, at least thirty-five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(c) By January 1, 2023, at least forty-five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(d) By January 1, 2024, at least sixty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(2) By January 1, 2022, all workers in the skilled and trained workforce must have completed within the past three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chapter, except the requirement that a worker be paid at least a rate consistent with the prevailing hourly wage rate, constitutes a violation of chapter 49.17 RCW.</w:t>
      </w:r>
    </w:p>
    <w:p>
      <w:pPr>
        <w:spacing w:before="0" w:after="0" w:line="408" w:lineRule="exact"/>
        <w:ind w:left="0" w:right="0" w:firstLine="576"/>
        <w:jc w:val="left"/>
      </w:pPr>
      <w:r>
        <w:rPr/>
        <w:t xml:space="preserve">(2) The prevailing hourly wage rate requirement of this chapter constitutes a wage payment requirement as defined in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Washington state apprenticeship and training council shall prioritize consideration of new apprenticeship programs for workers in high hazard facilities. The Washington state apprenticeship and training council shall issue a decision within six months of the acceptance of a completed application for consideration of a new state registered apprenticeship program for workers in high hazard facilities.</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ESHB 1817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04/10/2019</w:t>
      </w:r>
    </w:p>
    <w:p>
      <w:pPr>
        <w:spacing w:before="0" w:after="0" w:line="408" w:lineRule="exact"/>
        <w:ind w:left="0" w:right="0" w:firstLine="576"/>
        <w:jc w:val="left"/>
      </w:pPr>
      <w:r>
        <w:rPr/>
        <w:t xml:space="preserve">On page 1, line 2 of the title, after "facilities;" strike the remainder of the title and insert "adding a new chapter to Title 49 RCW;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Requires the Washington state apprenticeship and training council to make a determination within six months on applications for new state registered apprenticeship programs. Adds an expiration date for the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4afc4c59a430f" /></Relationships>
</file>