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b3241fb6f482c"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ENGR</w:t>
        </w:r>
      </w:r>
      <w:r>
        <w:rPr>
          <w:b/>
        </w:rPr>
        <w:t xml:space="preserve"> </w:t>
        <w:r>
          <w:rPr/>
          <w:t xml:space="preserve">S7432.E</w:t>
        </w:r>
      </w:r>
      <w:r>
        <w:rPr>
          <w:b/>
        </w:rPr>
        <w:t xml:space="preserve"> - NOT FOR FLOOR USE</w:t>
      </w:r>
    </w:p>
    <w:p>
      <w:pPr>
        <w:ind w:left="0" w:right="0" w:firstLine="576"/>
      </w:pPr>
    </w:p>
    <w:p>
      <w:pPr>
        <w:spacing w:before="480" w:after="0" w:line="408" w:lineRule="exact"/>
      </w:pPr>
      <w:r>
        <w:rPr>
          <w:b/>
          <w:u w:val="single"/>
        </w:rPr>
        <w:t xml:space="preserve">HB 1841</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Kuderer</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adequate personnel are critical to ensuring railroad operational safety, security, and in the event of a hazardous material incident, support of first responder activities, as well as in the interest of the safety of passengers and the general public. Therefore, the legislature declares that this act regulating minimum railroad employee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I" means a railroad carrier designated as a class I railroad by the United States surface transportation board and its subsidiaries or is owned and operated by entities whose combined total railroad operational ownership and controlling interest meets the United States surface transportation board designation as a class I railroad carrier.</w:t>
      </w:r>
    </w:p>
    <w:p>
      <w:pPr>
        <w:spacing w:before="0" w:after="0" w:line="408" w:lineRule="exact"/>
        <w:ind w:left="0" w:right="0" w:firstLine="576"/>
        <w:jc w:val="left"/>
      </w:pPr>
      <w:r>
        <w:rPr/>
        <w:t xml:space="preserve">(2) "Class III" means a railroad carrier designated as a class III railroad by the United States surface transportation board.</w:t>
      </w:r>
    </w:p>
    <w:p>
      <w:pPr>
        <w:spacing w:before="0" w:after="0" w:line="408" w:lineRule="exact"/>
        <w:ind w:left="0" w:right="0" w:firstLine="576"/>
        <w:jc w:val="left"/>
      </w:pPr>
      <w:r>
        <w:rPr/>
        <w:t xml:space="preserve">(3) "Commission" means the utilities and transportation commission created in chapter 80.01 RCW.</w:t>
      </w:r>
    </w:p>
    <w:p>
      <w:pPr>
        <w:spacing w:before="0" w:after="0" w:line="408" w:lineRule="exact"/>
        <w:ind w:left="0" w:right="0" w:firstLine="576"/>
        <w:jc w:val="left"/>
      </w:pPr>
      <w:r>
        <w:rPr/>
        <w:t xml:space="preserve">(4) "Crewmember"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"Other railroad carrier" means a railroad carrier that is not a class I carrier.</w:t>
      </w:r>
    </w:p>
    <w:p>
      <w:pPr>
        <w:spacing w:before="0" w:after="0" w:line="408" w:lineRule="exact"/>
        <w:ind w:left="0" w:right="0" w:firstLine="576"/>
        <w:jc w:val="left"/>
      </w:pPr>
      <w:r>
        <w:rPr/>
        <w:t xml:space="preserve">(6)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section 4 of this act, any person, corporation, company, or officer of the court operating any railroad, railway, or any part of any railroad or railway, in the state of Washington, and engaged, as a common carrier, in the transportation of freight or passengers, shall operate and manage all trains and switching assignments over its road with crews consisting of no less than two crewmembers.</w:t>
      </w:r>
    </w:p>
    <w:p>
      <w:pPr>
        <w:spacing w:before="0" w:after="0" w:line="408" w:lineRule="exact"/>
        <w:ind w:left="0" w:right="0" w:firstLine="576"/>
        <w:jc w:val="left"/>
      </w:pPr>
      <w:r>
        <w:rPr/>
        <w:t xml:space="preserve">(2) Class III railroad carriers operating on their roads while at a speed of twenty-five miles per hour or less are exempt from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On the effective date of this section, automatic waivers to the train crew size requirement in section 3 of this act shall be granted to other railroad carriers.</w:t>
      </w:r>
    </w:p>
    <w:p>
      <w:pPr>
        <w:spacing w:before="0" w:after="0" w:line="408" w:lineRule="exact"/>
        <w:ind w:left="0" w:right="0" w:firstLine="576"/>
        <w:jc w:val="left"/>
      </w:pPr>
      <w:r>
        <w:rPr/>
        <w:t xml:space="preserve">(2) Such automatic waivers will remain in effect until ordered by the commission.</w:t>
      </w:r>
    </w:p>
    <w:p>
      <w:pPr>
        <w:spacing w:before="0" w:after="0" w:line="408" w:lineRule="exact"/>
        <w:ind w:left="0" w:right="0" w:firstLine="576"/>
        <w:jc w:val="left"/>
      </w:pPr>
      <w:r>
        <w:rPr/>
        <w:t xml:space="preserve">(3) The commission must act to ensure that railroad carriers supplement trains entering Washington state with the requisite number of train crewmembers pursuant to this act, at the closest regular station stop or crew change point located in proximity to and adjacent with either side of the state border, having been established and in use by the carrier on January 1, 2020.</w:t>
      </w:r>
    </w:p>
    <w:p>
      <w:pPr>
        <w:spacing w:before="0" w:after="0" w:line="408" w:lineRule="exact"/>
        <w:ind w:left="0" w:right="0" w:firstLine="576"/>
        <w:jc w:val="left"/>
      </w:pPr>
      <w:r>
        <w:rPr/>
        <w:t xml:space="preserve">(4)(a) The commission may order railroad carriers to increase the number of railroad employees in areas of increased risk to the public, passengers, railroad employees, or the environment, or on specific trains, routes, or to switch assignments on their road with additional numbers of crewmembers, and may direct the placement of additional crewmembers, if it is determined that such an increase in staffing or the placement of additional crewmembers is necessary to protect the safety, health, and welfare of the public, passengers, or railroad employees, to prevent harm to the environment or to address site specific safety or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vulnerabilities, risk exposure to passengers, the general public, railroad employees, communities, or the environment along the train route, security risks including sabotage or terrorism threat levels, a railroad carrier's prior history of accidents, compliance violations, operating practices, infrastructure investments including track and equipment maintenance issues or lack thereof, employee training and support programs, first responder access, and any other relevant factors in the interest of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Pursuant to the enforcement of the provisions of this act, the highest priority and paramount obligation of the commission must be its duty to ensure the safety and protection of the public, passengers, railroad employees, communities, environment, and areas of cultural significance in the furtherance of the highest degree of safety in railroad transportation.</w:t>
      </w:r>
    </w:p>
    <w:p>
      <w:pPr>
        <w:spacing w:before="0" w:after="0" w:line="408" w:lineRule="exact"/>
        <w:ind w:left="0" w:right="0" w:firstLine="576"/>
        <w:jc w:val="left"/>
      </w:pPr>
      <w:r>
        <w:rPr/>
        <w:t xml:space="preserve">(2)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w:t>
      </w:r>
    </w:p>
    <w:p>
      <w:pPr>
        <w:spacing w:before="0" w:after="0" w:line="408" w:lineRule="exact"/>
        <w:ind w:left="0" w:right="0" w:firstLine="576"/>
        <w:jc w:val="left"/>
      </w:pPr>
      <w:r>
        <w:rPr/>
        <w:t xml:space="preserve">(3)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may be subject to fines of not less than one thousand dollars and not more than one hundred thousand dollars for each offense, as determined by the commission through order.</w:t>
      </w:r>
    </w:p>
    <w:p>
      <w:pPr>
        <w:spacing w:before="0" w:after="0" w:line="408" w:lineRule="exact"/>
        <w:ind w:left="0" w:right="0" w:firstLine="576"/>
        <w:jc w:val="left"/>
      </w:pPr>
      <w:r>
        <w:rPr/>
        <w:t xml:space="preserve">(4) The commission may impose fines exceeding the provisions in subsection (3) of this section when a serious injury or fatality occurs involving a carrier's violation of this act. All relevant factors may be considered including, but not limited to, the class, assets, profitability, and operational safety record of the carrier, as well as deterrence in ascertaining an appropriate punitive penalty, as determined by the commission through order.</w:t>
      </w:r>
    </w:p>
    <w:p>
      <w:pPr>
        <w:spacing w:before="0" w:after="0" w:line="408" w:lineRule="exact"/>
        <w:ind w:left="0" w:right="0" w:firstLine="576"/>
        <w:jc w:val="left"/>
      </w:pPr>
      <w:r>
        <w:rPr/>
        <w:t xml:space="preserve">(5)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entity,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1841</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Kuderer</w:t>
      </w:r>
    </w:p>
    <w:p>
      <w:pPr>
        <w:jc w:val="right"/>
      </w:pPr>
      <w:r>
        <w:rPr>
          <w:b/>
        </w:rPr>
        <w:t xml:space="preserve">ADOPTED 3/6/20</w:t>
      </w:r>
    </w:p>
    <w:p>
      <w:pPr>
        <w:spacing w:before="0" w:after="0" w:line="408" w:lineRule="exact"/>
        <w:ind w:left="0" w:right="0" w:firstLine="576"/>
        <w:jc w:val="left"/>
      </w:pPr>
      <w:r>
        <w:rPr/>
        <w:t xml:space="preserve">On page 1, line 2 of the title, after "trains;" strike the remainder of the title and insert "adding new sections to chapter 81.40 RCW; creating a new section; repealing RCW 81.40.010 and 81.40.035; prescribing penalties;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425db199d467e" /></Relationships>
</file>