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bec0483fe14f34" /></Relationships>
</file>

<file path=word/document.xml><?xml version="1.0" encoding="utf-8"?>
<w:document xmlns:w="http://schemas.openxmlformats.org/wordprocessingml/2006/main">
  <w:body>
    <w:p>
      <w:r>
        <w:rPr>
          <w:b/>
        </w:rPr>
        <w:r>
          <w:rPr/>
          <w:t xml:space="preserve">1923-S2.E</w:t>
        </w:r>
      </w:r>
      <w:r>
        <w:rPr>
          <w:b/>
        </w:rPr>
        <w:t xml:space="preserve"> </w:t>
        <w:t xml:space="preserve">AMS</w:t>
      </w:r>
      <w:r>
        <w:rPr>
          <w:b/>
        </w:rPr>
        <w:t xml:space="preserve"> </w:t>
        <w:r>
          <w:rPr/>
          <w:t xml:space="preserve">HSA</w:t>
        </w:r>
      </w:r>
      <w:r>
        <w:rPr>
          <w:b/>
        </w:rPr>
        <w:t xml:space="preserve"> </w:t>
        <w:r>
          <w:rPr/>
          <w:t xml:space="preserve">S3387.2</w:t>
        </w:r>
      </w:r>
      <w:r>
        <w:rPr>
          <w:b/>
        </w:rPr>
        <w:t xml:space="preserve"> - NOT FOR FLOOR USE</w:t>
      </w:r>
    </w:p>
    <w:p>
      <w:pPr>
        <w:ind w:left="0" w:right="0" w:firstLine="576"/>
      </w:pPr>
      <w:r>
        <w:rPr/>
        <w:t xml:space="preserve"> </w:t>
      </w:r>
    </w:p>
    <w:p>
      <w:pPr>
        <w:spacing w:before="480" w:after="0" w:line="408" w:lineRule="exact"/>
      </w:pPr>
      <w:r>
        <w:rPr>
          <w:b/>
          <w:u w:val="single"/>
        </w:rPr>
        <w:t xml:space="preserve">E2SHB 1923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Stability &amp; Affordability</w:t>
      </w:r>
    </w:p>
    <w:p>
      <w:pPr>
        <w:jc w:val="right"/>
      </w:pPr>
      <w:r>
        <w:rPr>
          <w:b/>
        </w:rPr>
        <w:t xml:space="preserve">NOT ADOPTED 04/13/2019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city planning pursuant to RCW 36.70A.040 with a population greater than twenty thousand shall take at least two of the following actions by December 31, 2022, in order to increase its residential building capacity:</w:t>
      </w:r>
    </w:p>
    <w:p>
      <w:pPr>
        <w:spacing w:before="0" w:after="0" w:line="408" w:lineRule="exact"/>
        <w:ind w:left="0" w:right="0" w:firstLine="576"/>
        <w:jc w:val="left"/>
      </w:pPr>
      <w:r>
        <w:rPr/>
        <w:t xml:space="preserve">(a) Authorize development of an average of at least fifty residential units per acre in one or more areas of not fewer than five hundred acres that include one or more train stations served by commuter rail or light rail;</w:t>
      </w:r>
    </w:p>
    <w:p>
      <w:pPr>
        <w:spacing w:before="0" w:after="0" w:line="408" w:lineRule="exact"/>
        <w:ind w:left="0" w:right="0" w:firstLine="576"/>
        <w:jc w:val="left"/>
      </w:pPr>
      <w:r>
        <w:rPr/>
        <w:t xml:space="preserve">(b) Authorize development of an average of at least twenty-five residential units per acre in one or more areas of not fewer than five hundred acres that include one or more bus stops served by scheduled bus service of at least four times per hour for twelve or more hours per day;</w:t>
      </w:r>
    </w:p>
    <w:p>
      <w:pPr>
        <w:spacing w:before="0" w:after="0" w:line="408" w:lineRule="exact"/>
        <w:ind w:left="0" w:right="0" w:firstLine="576"/>
        <w:jc w:val="left"/>
      </w:pPr>
      <w:r>
        <w:rPr/>
        <w:t xml:space="preserve">(c) Authorize at least one duplex, triplex, or courtyard apartment on each parcel in one or more zoning districts that permit single-family residences unless a city documents a specific infrastructure of physical constraint that would make this requirement unfeasible for a particular parcel;</w:t>
      </w:r>
    </w:p>
    <w:p>
      <w:pPr>
        <w:spacing w:before="0" w:after="0" w:line="408" w:lineRule="exact"/>
        <w:ind w:left="0" w:right="0" w:firstLine="576"/>
        <w:jc w:val="left"/>
      </w:pPr>
      <w:r>
        <w:rPr/>
        <w:t xml:space="preserve">(d) Authorize cluster zoning or lot size averaging in all zoning districts that permit single-family residences;</w:t>
      </w:r>
    </w:p>
    <w:p>
      <w:pPr>
        <w:spacing w:before="0" w:after="0" w:line="408" w:lineRule="exact"/>
        <w:ind w:left="0" w:right="0" w:firstLine="576"/>
        <w:jc w:val="left"/>
      </w:pPr>
      <w:r>
        <w:rPr/>
        <w:t xml:space="preserve">(e) Require no more than one on-site parking space per two bedrooms in the portions of multifamily zones that are located within one-half mile of a fixed guideway transit station;</w:t>
      </w:r>
    </w:p>
    <w:p>
      <w:pPr>
        <w:spacing w:before="0" w:after="0" w:line="408" w:lineRule="exact"/>
        <w:ind w:left="0" w:right="0" w:firstLine="576"/>
        <w:jc w:val="left"/>
      </w:pPr>
      <w:r>
        <w:rPr/>
        <w:t xml:space="preserve">(f) Authorize accessory dwelling units on all lots located in zoning districts that permit single-family residences, except that a city choosing this option may restrict the use of such units as short-term rentals, may impose a minimum lot size requirement of two thousand five hundred square feet, may restrict accessory dwelling units on lots that do not meet this minimum size requirement, and may not be required to permit an unattached accessory dwelling unit to be added to lots smaller than three thousand two hundred square feet;</w:t>
      </w:r>
    </w:p>
    <w:p>
      <w:pPr>
        <w:spacing w:before="0" w:after="0" w:line="408" w:lineRule="exact"/>
        <w:ind w:left="0" w:right="0" w:firstLine="576"/>
        <w:jc w:val="left"/>
      </w:pPr>
      <w:r>
        <w:rPr/>
        <w:t xml:space="preserve">(g) Adopt a planned action pursuant to RCW 43.21C.420;</w:t>
      </w:r>
    </w:p>
    <w:p>
      <w:pPr>
        <w:spacing w:before="0" w:after="0" w:line="408" w:lineRule="exact"/>
        <w:ind w:left="0" w:right="0" w:firstLine="576"/>
        <w:jc w:val="left"/>
      </w:pPr>
      <w:r>
        <w:rPr/>
        <w:t xml:space="preserve">(h) Adopt a planned action pursuant to RCW 43.21C.440(1)(b)(ii), except that an environmental impact statement pursuant to RCW 43.21C.030 is not required for such an action;</w:t>
      </w:r>
    </w:p>
    <w:p>
      <w:pPr>
        <w:spacing w:before="0" w:after="0" w:line="408" w:lineRule="exact"/>
        <w:ind w:left="0" w:right="0" w:firstLine="576"/>
        <w:jc w:val="left"/>
      </w:pPr>
      <w:r>
        <w:rPr/>
        <w:t xml:space="preserve">(i) Adopt increases in categorical exemptions pursuant to RCW 43.21C.229 for residential or mixed-use development;</w:t>
      </w:r>
    </w:p>
    <w:p>
      <w:pPr>
        <w:spacing w:before="0" w:after="0" w:line="408" w:lineRule="exact"/>
        <w:ind w:left="0" w:right="0" w:firstLine="576"/>
        <w:jc w:val="left"/>
      </w:pPr>
      <w:r>
        <w:rPr/>
        <w:t xml:space="preserve">(j) Adopt a form-based code in one or more zoning districts that permit residential uses. "Form-based code" means a land development regulation that uses physical form, rather than separation of use, as the organizing principle for the code;</w:t>
      </w:r>
    </w:p>
    <w:p>
      <w:pPr>
        <w:spacing w:before="0" w:after="0" w:line="408" w:lineRule="exact"/>
        <w:ind w:left="0" w:right="0" w:firstLine="576"/>
        <w:jc w:val="left"/>
      </w:pPr>
      <w:r>
        <w:rPr/>
        <w:t xml:space="preserve">(k) Authorize a duplex on each corner lot within all zoning districts that permit single-family residences;</w:t>
      </w:r>
    </w:p>
    <w:p>
      <w:pPr>
        <w:spacing w:before="0" w:after="0" w:line="408" w:lineRule="exact"/>
        <w:ind w:left="0" w:right="0" w:firstLine="576"/>
        <w:jc w:val="left"/>
      </w:pPr>
      <w:r>
        <w:rPr/>
        <w:t xml:space="preserve">(l) Form or join existing subregional partnerships with neighboring jurisdictions to implement and promote affordable housing programs; and</w:t>
      </w:r>
    </w:p>
    <w:p>
      <w:pPr>
        <w:spacing w:before="0" w:after="0" w:line="408" w:lineRule="exact"/>
        <w:ind w:left="0" w:right="0" w:firstLine="576"/>
        <w:jc w:val="left"/>
      </w:pPr>
      <w:r>
        <w:rPr/>
        <w:t xml:space="preserve">(m) Authorize at least a twenty percent density bonus for all residential development projects, both single-family and multifamily, when at least ten percent of the total units within the project are provided as affordable housing. In zoning districts that allow single-family detached housing, the authorization adopted pursuant to this subsection must allow for the construction of duplexes or triplexes to fulfill the affordable housing requirement. For all residential development that qualifies for the twenty percent density bonus of this subsection, the authorization adopted pursuant to this subsection must, for the purpose of demonstrating how additional housing units within a development site may be provided when affordable housing is provided, authorize modifications to one or more of the following zoning requirements: Building heights, structural setbacks, open space, maximum lot and impervious standards, parking, road widths, landscaping buffers, tree retention, or other requirements.</w:t>
      </w:r>
    </w:p>
    <w:p>
      <w:pPr>
        <w:spacing w:before="0" w:after="0" w:line="408" w:lineRule="exact"/>
        <w:ind w:left="0" w:right="0" w:firstLine="576"/>
        <w:jc w:val="left"/>
      </w:pPr>
      <w:r>
        <w:rPr/>
        <w:t xml:space="preserve">(2) As an alternative to taking two of the actions provided in subsection (1) of this section, a city that is subject to subsection (1) of this section may, for purposes of compliance with subsections (1) and (8) of this section, adopt a housing action plan as described in this subsection. The goal of any such housing plan must be to encourage construction of additional affordable and market rate housing in a greater variety of housing types and at prices that are accessible to a greater variety of incomes. A housing action plan may utilize data compiled pursuant to section 3 of this act. The housing action plan must:</w:t>
      </w:r>
    </w:p>
    <w:p>
      <w:pPr>
        <w:spacing w:before="0" w:after="0" w:line="408" w:lineRule="exact"/>
        <w:ind w:left="0" w:right="0" w:firstLine="576"/>
        <w:jc w:val="left"/>
      </w:pPr>
      <w:r>
        <w:rPr/>
        <w:t xml:space="preserve">(a) Quantify existing and projected housing needs for all income levels, including extremely low-income households, with documentation of housing and household characteristics, and cost-burdened households;</w:t>
      </w:r>
    </w:p>
    <w:p>
      <w:pPr>
        <w:spacing w:before="0" w:after="0" w:line="408" w:lineRule="exact"/>
        <w:ind w:left="0" w:right="0" w:firstLine="576"/>
        <w:jc w:val="left"/>
      </w:pPr>
      <w:r>
        <w:rPr/>
        <w:t xml:space="preserve">(b) Develop strategies to increase the supply of housing, and variety of housing types, needed to serve the housing needs identified in (a) of this subsection;</w:t>
      </w:r>
    </w:p>
    <w:p>
      <w:pPr>
        <w:spacing w:before="0" w:after="0" w:line="408" w:lineRule="exact"/>
        <w:ind w:left="0" w:right="0" w:firstLine="576"/>
        <w:jc w:val="left"/>
      </w:pPr>
      <w:r>
        <w:rPr/>
        <w:t xml:space="preserve">(c) Analyze population and employment trends, with documentation of projections;</w:t>
      </w:r>
    </w:p>
    <w:p>
      <w:pPr>
        <w:spacing w:before="0" w:after="0" w:line="408" w:lineRule="exact"/>
        <w:ind w:left="0" w:right="0" w:firstLine="576"/>
        <w:jc w:val="left"/>
      </w:pPr>
      <w:r>
        <w:rPr/>
        <w:t xml:space="preserve">(d) Consider strategies to minimize displacement of low-income residents resulting from redevelopment;</w:t>
      </w:r>
    </w:p>
    <w:p>
      <w:pPr>
        <w:spacing w:before="0" w:after="0" w:line="408" w:lineRule="exact"/>
        <w:ind w:left="0" w:right="0" w:firstLine="576"/>
        <w:jc w:val="left"/>
      </w:pPr>
      <w:r>
        <w:rPr/>
        <w:t xml:space="preserve">(e) Review and evaluate the current housing element adopted pursuant to RCW 36.70A.070, including an evaluation of success in attaining planned housing types and units, achievement of goals and policies, and implementation of the schedule of programs and actions;</w:t>
      </w:r>
    </w:p>
    <w:p>
      <w:pPr>
        <w:spacing w:before="0" w:after="0" w:line="408" w:lineRule="exact"/>
        <w:ind w:left="0" w:right="0" w:firstLine="576"/>
        <w:jc w:val="left"/>
      </w:pPr>
      <w:r>
        <w:rPr/>
        <w:t xml:space="preserve">(f) Provide for participation and input from community members, community groups, local builders, local realtors, nonprofit housing advocates, and local religious groups; and</w:t>
      </w:r>
    </w:p>
    <w:p>
      <w:pPr>
        <w:spacing w:before="0" w:after="0" w:line="408" w:lineRule="exact"/>
        <w:ind w:left="0" w:right="0" w:firstLine="576"/>
        <w:jc w:val="left"/>
      </w:pPr>
      <w:r>
        <w:rPr/>
        <w:t xml:space="preserve">(g) Include a schedule of programs and actions to implement the recommendations of the housing action plan.</w:t>
      </w:r>
    </w:p>
    <w:p>
      <w:pPr>
        <w:spacing w:before="0" w:after="0" w:line="408" w:lineRule="exact"/>
        <w:ind w:left="0" w:right="0" w:firstLine="576"/>
        <w:jc w:val="left"/>
      </w:pPr>
      <w:r>
        <w:rPr/>
        <w:t xml:space="preserve">(3) A city may rely on actions that take effect on or after January 1, 2012, for purposes of compliance with subsection (1) of this section.</w:t>
      </w:r>
    </w:p>
    <w:p>
      <w:pPr>
        <w:spacing w:before="0" w:after="0" w:line="408" w:lineRule="exact"/>
        <w:ind w:left="0" w:right="0" w:firstLine="576"/>
        <w:jc w:val="left"/>
      </w:pPr>
      <w:r>
        <w:rPr/>
        <w:t xml:space="preserve">(4) A city with a population of twenty thousand or fewer may, but is not required to, take one or more of the actions specified in subsection (1) of this section.</w:t>
      </w:r>
    </w:p>
    <w:p>
      <w:pPr>
        <w:spacing w:before="0" w:after="0" w:line="408" w:lineRule="exact"/>
        <w:ind w:left="0" w:right="0" w:firstLine="576"/>
        <w:jc w:val="left"/>
      </w:pPr>
      <w:r>
        <w:rPr/>
        <w:t xml:space="preserve">(5) Amendments to development regulations and other nonproject actions taken by a city to implement the actions specified in subsection (1) of this section, with the exception of the action specified in subsection (1)(g) of this section, are not subject to administrative or judicial appeal under chapter 43.21C RCW.</w:t>
      </w:r>
    </w:p>
    <w:p>
      <w:pPr>
        <w:spacing w:before="0" w:after="0" w:line="408" w:lineRule="exact"/>
        <w:ind w:left="0" w:right="0" w:firstLine="576"/>
        <w:jc w:val="left"/>
      </w:pPr>
      <w:r>
        <w:rPr/>
        <w:t xml:space="preserve">(6) A city that is subject to the requirements of subsection (1) of this section shall certify to the department once it has complied with the requirements of subsection (1) of this section.</w:t>
      </w:r>
    </w:p>
    <w:p>
      <w:pPr>
        <w:spacing w:before="0" w:after="0" w:line="408" w:lineRule="exact"/>
        <w:ind w:left="0" w:right="0" w:firstLine="576"/>
        <w:jc w:val="left"/>
      </w:pPr>
      <w:r>
        <w:rPr/>
        <w:t xml:space="preserve">(7) In meeting the requirements of subsection (1) of this section, cities are encouraged to utilize strategies that increase residential building capacity in areas with frequent transit service and with the transportation and utility infrastructure that supports the additional residential building capacity.</w:t>
      </w:r>
    </w:p>
    <w:p>
      <w:pPr>
        <w:spacing w:before="0" w:after="0" w:line="408" w:lineRule="exact"/>
        <w:ind w:left="0" w:right="0" w:firstLine="576"/>
        <w:jc w:val="left"/>
      </w:pPr>
      <w:r>
        <w:rPr/>
        <w:t xml:space="preserve">(8) A city that has complied with subsection (1) of this section, based on actions that take effect between the effective date of this section and December 31, 2022, is eligible to apply to the department for a one-time grant of one hundred thousand dollars in order to support planning and outreach efforts, subject to the availability of funds appropriated for that purpose.</w:t>
      </w:r>
    </w:p>
    <w:p>
      <w:pPr>
        <w:spacing w:before="0" w:after="0" w:line="408" w:lineRule="exact"/>
        <w:ind w:left="0" w:right="0" w:firstLine="576"/>
        <w:jc w:val="left"/>
      </w:pPr>
      <w:r>
        <w:rPr/>
        <w:t xml:space="preserve">(9) In implementing this act, cities are encouraged to prioritize the creation of affordable, inclusive neighborhoods and to consider the risk of residential displacement, particularly in neighborhoods with communities at high risk of displacement.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2017 3rd sp.s. c 18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(11)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(12) "Minerals" include gravel, sand, and valuable metallic substances.</w:t>
      </w:r>
    </w:p>
    <w:p>
      <w:pPr>
        <w:spacing w:before="0" w:after="0" w:line="408" w:lineRule="exact"/>
        <w:ind w:left="0" w:right="0" w:firstLine="576"/>
        <w:jc w:val="left"/>
      </w:pPr>
      <w:r>
        <w:rPr/>
        <w:t xml:space="preserve">(13)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(14)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(15)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(16)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(17)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(18)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t xml:space="preserve">(20)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(21)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(22) "Urban growth areas" means those areas designated by a county pursuant to RCW 36.70A.110.</w:t>
      </w:r>
    </w:p>
    <w:p>
      <w:pPr>
        <w:spacing w:before="0" w:after="0" w:line="408" w:lineRule="exact"/>
        <w:ind w:left="0" w:right="0" w:firstLine="576"/>
        <w:jc w:val="left"/>
      </w:pPr>
      <w:r>
        <w:rPr/>
        <w:t xml:space="preserve">(23)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(24)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u w:val="single"/>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u w:val="single"/>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(25)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u w:val="single"/>
        </w:rPr>
        <w:t xml:space="preserve">(27)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The University of Washington, through the Washington center for real estate research, shall produce a report every two years that compiles housing supply and affordability metrics for each city planning under RCW 36.70A.040 with a population of ten thousand or more. The report must be a compilation of objective criteria relating to development regulations, zoning, income, housing and rental prices, housing affordability programs, and other metrics relevant to assessing housing supply and affordability for all income segments of each city subject to the report required by this section. The Washington center for real estate research shall collaborate with the Washington housing finance commission and the office of financial management to develop the metrics compiled in the report. The report must be submitted, consistent with RCW 43.01.036, to the standing committees of the legislature with jurisdiction over housing issues and this chapter by October 15th of each even-numbered year beginning in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Amendments to development regulations and other nonproject actions taken by a city to implement section 1(1) of this act, with the exception of the action specified in section 1(1)(g) of this act, are not subject to administrative or judicial appeals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In counties and cities planning under RCW 36.70A.040, minimum residential parking requirements mandated by municipal zoning ordinances are subject to the following requirements:</w:t>
      </w:r>
    </w:p>
    <w:p>
      <w:pPr>
        <w:spacing w:before="0" w:after="0" w:line="408" w:lineRule="exact"/>
        <w:ind w:left="0" w:right="0" w:firstLine="576"/>
        <w:jc w:val="left"/>
      </w:pPr>
      <w:r>
        <w:rPr/>
        <w:t xml:space="preserve">(1) For housing units that are affordable to very low-income or extremely low-income individuals and that are located within one-quarter mile of a transit stop that receives transit service at least four times per hour for twelve or more hours per day, minimum residential parking requirements may be no greater than one parking space per bedroom. A city may require a developer to record a covenant that prohibits the rental of a unit subject to this parking restriction for any purpose other than providing for housing for very low-income or extremely low-income individuals. The covenant must address price restrictions and household income limits and policies if the property is converted to a use other than for low-income housing. A city may establish a requirement for the provision of more than one parking space per bedroom if the jurisdiction has determined a particular housing unit to be in an area with a lack of access to street parking capacity, physical space impediments, or other reasons supported by evidence that would make on-street parking infeasible for the unit.</w:t>
      </w:r>
    </w:p>
    <w:p>
      <w:pPr>
        <w:spacing w:before="0" w:after="0" w:line="408" w:lineRule="exact"/>
        <w:ind w:left="0" w:right="0" w:firstLine="576"/>
        <w:jc w:val="left"/>
      </w:pPr>
      <w:r>
        <w:rPr/>
        <w:t xml:space="preserve">(2) For housing units that are specifically for seniors or people with disabilities, that are located within one-quarter mile of a transit stop that receives transit service at least four times per hour for twelve or more hours per day, a city may not impose a minimum residential parking requirement for the residents of such housing units, subject to the exceptions provided in this subsection. A city may establish parking requirements for staff and visitors of such housing units. A city may establish a requirement for the provision of one or more parking space per bedroom if the jurisdiction has determined a particular housing unit to be in an area with a lack of access to street parking capacity, physical space impediments, or other reasons supported by evidence that would make on-street parking infeasible for the unit. A city may require a developer to record a covenant that prohibits the rental of a unit subject to this parking restriction for any purpose other than providing for housing for seniors or people with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(1) A project action evaluated under this chapter by a city, town, or county planning under RCW 36.70A.040 is exempt from appeals under this chapter on the basis of the evaluation of or impacts to transportation elements of the environment, so long as the project does not present significant adverse impacts to the state-owned transportation system as determined by the department of transportation and the project is:</w:t>
      </w:r>
    </w:p>
    <w:p>
      <w:pPr>
        <w:spacing w:before="0" w:after="0" w:line="408" w:lineRule="exact"/>
        <w:ind w:left="0" w:right="0" w:firstLine="576"/>
        <w:jc w:val="left"/>
      </w:pPr>
      <w:r>
        <w:rPr/>
        <w:t xml:space="preserve">(a)(i) Consistent with a locally adopted transportation plan; or</w:t>
      </w:r>
    </w:p>
    <w:p>
      <w:pPr>
        <w:spacing w:before="0" w:after="0" w:line="408" w:lineRule="exact"/>
        <w:ind w:left="0" w:right="0" w:firstLine="576"/>
        <w:jc w:val="left"/>
      </w:pPr>
      <w:r>
        <w:rPr/>
        <w:t xml:space="preserve">(ii) Consistent with the transportation element of a comprehensive plan; and</w:t>
      </w:r>
    </w:p>
    <w:p>
      <w:pPr>
        <w:spacing w:before="0" w:after="0" w:line="408" w:lineRule="exact"/>
        <w:ind w:left="0" w:right="0" w:firstLine="576"/>
        <w:jc w:val="left"/>
      </w:pPr>
      <w:r>
        <w:rPr/>
        <w:t xml:space="preserve">(b)(i) A project for which traffic or parking impact fees are imposed pursuant to RCW 82.02.050 through 82.02.090; or</w:t>
      </w:r>
    </w:p>
    <w:p>
      <w:pPr>
        <w:spacing w:before="0" w:after="0" w:line="408" w:lineRule="exact"/>
        <w:ind w:left="0" w:right="0" w:firstLine="576"/>
        <w:jc w:val="left"/>
      </w:pPr>
      <w:r>
        <w:rPr/>
        <w:t xml:space="preserve">(ii) A project for which traffic or parking impacts are expressly mitigated by an ordinance, or ordinances, of general application adopted by the city, town, or county.</w:t>
      </w:r>
    </w:p>
    <w:p>
      <w:pPr>
        <w:spacing w:before="0" w:after="0" w:line="408" w:lineRule="exact"/>
        <w:ind w:left="0" w:right="0" w:firstLine="576"/>
        <w:jc w:val="left"/>
      </w:pPr>
      <w:r>
        <w:rPr/>
        <w:t xml:space="preserve">(2) For purposes of this section, "impacts to transportation elements of the environment" include impacts to transportation systems; vehicular traffic; waterborne, rail, and air traffic; parking; movement or circulation of people or goods; and traffic hazards.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420</w:t>
      </w:r>
      <w:r>
        <w:rPr/>
        <w:t xml:space="preserve"> and 2010 c 153 s 2 are each amended to read as follows:</w:t>
      </w:r>
    </w:p>
    <w:p>
      <w:pPr>
        <w:spacing w:before="0" w:after="0" w:line="408" w:lineRule="exact"/>
        <w:ind w:left="0" w:right="0" w:firstLine="576"/>
        <w:jc w:val="left"/>
      </w:pPr>
      <w:r>
        <w:rPr/>
        <w:t xml:space="preserve">(1) Cities with a population greater than five thousand, in accordance with their existing comprehensive planning and development regulation authority under chapter 36.70A RCW, and in accordance with this section, may adopt optional elements of their comprehensive plans and optional development regulations that apply within specified subareas of the cities, that are either:</w:t>
      </w:r>
    </w:p>
    <w:p>
      <w:pPr>
        <w:spacing w:before="0" w:after="0" w:line="408" w:lineRule="exact"/>
        <w:ind w:left="0" w:right="0" w:firstLine="576"/>
        <w:jc w:val="left"/>
      </w:pPr>
      <w:r>
        <w:rPr/>
        <w:t xml:space="preserve">(a) Areas designated as mixed-use or urban centers in a land use or transportation plan adopted by a regional transportation planning organization; or</w:t>
      </w:r>
    </w:p>
    <w:p>
      <w:pPr>
        <w:spacing w:before="0" w:after="0" w:line="408" w:lineRule="exact"/>
        <w:ind w:left="0" w:right="0" w:firstLine="576"/>
        <w:jc w:val="left"/>
      </w:pPr>
      <w:r>
        <w:rPr/>
        <w:t xml:space="preserve">(b) Areas within one-half mile of a major transit stop that are zoned to have an average minimum density of fifteen dwelling units or more per gross acre.</w:t>
      </w:r>
    </w:p>
    <w:p>
      <w:pPr>
        <w:spacing w:before="0" w:after="0" w:line="408" w:lineRule="exact"/>
        <w:ind w:left="0" w:right="0" w:firstLine="576"/>
        <w:jc w:val="left"/>
      </w:pPr>
      <w:r>
        <w:rPr/>
        <w:t xml:space="preserve">(2) Cities located on the east side of the Cascade mountains and located in a county with a population of two hundred thirty thousand or less, in accordance with their existing comprehensive planning and development regulation authority under chapter 36.70A RCW, and in accordance with this section, may adopt optional elements of their comprehensive plans and optional development regulations that apply within the mixed-use or urban centers. The optional elements of their comprehensive plans and optional development regulations must enhance pedestrian, bicycle, transit, or other nonvehicular transportation methods.</w:t>
      </w:r>
    </w:p>
    <w:p>
      <w:pPr>
        <w:spacing w:before="0" w:after="0" w:line="408" w:lineRule="exact"/>
        <w:ind w:left="0" w:right="0" w:firstLine="576"/>
        <w:jc w:val="left"/>
      </w:pPr>
      <w:r>
        <w:rPr/>
        <w:t xml:space="preserve">(3) A major transit stop is defined as:</w:t>
      </w:r>
    </w:p>
    <w:p>
      <w:pPr>
        <w:spacing w:before="0" w:after="0" w:line="408" w:lineRule="exact"/>
        <w:ind w:left="0" w:right="0" w:firstLine="576"/>
        <w:jc w:val="left"/>
      </w:pPr>
      <w:r>
        <w:rPr/>
        <w:t xml:space="preserve">(a) A stop on a high capacity transportation service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fixed route service at intervals of at least thirty minutes during the peak hours of operation.</w:t>
      </w:r>
    </w:p>
    <w:p>
      <w:pPr>
        <w:spacing w:before="0" w:after="0" w:line="408" w:lineRule="exact"/>
        <w:ind w:left="0" w:right="0" w:firstLine="576"/>
        <w:jc w:val="left"/>
      </w:pPr>
      <w:r>
        <w:rPr/>
        <w:t xml:space="preserve">(4)(a) A city that elects to adopt such an optional comprehensive plan element and optional development regulations shall prepare a nonproject environmental impact statement, pursuant to RCW 43.21C.030, assessing and disclosing the probable significant adverse environmental impacts of the optional comprehensive plan element and development regulations and of future development that is consistent with the plan and regulations.</w:t>
      </w:r>
    </w:p>
    <w:p>
      <w:pPr>
        <w:spacing w:before="0" w:after="0" w:line="408" w:lineRule="exact"/>
        <w:ind w:left="0" w:right="0" w:firstLine="576"/>
        <w:jc w:val="left"/>
      </w:pPr>
      <w:r>
        <w:rPr/>
        <w:t xml:space="preserve">(b) At least one community meeting must be held on the proposed subarea plan before the scoping notice for such a nonproject environmental impact statement is issued. Notice of scoping for such a nonproject environmental impact statement and notice of the community meeting required by this section must be mailed to all property owners of record within the subarea to be studied, to all property owners within one hundred fifty feet of the boundaries of such a subarea, to all affected federally recognized tribal governments whose ceded area is within one-half mile of the boundaries of the subarea, and to agencies with jurisdiction over the future development anticipated within the subarea.</w:t>
      </w:r>
    </w:p>
    <w:p>
      <w:pPr>
        <w:spacing w:before="0" w:after="0" w:line="408" w:lineRule="exact"/>
        <w:ind w:left="0" w:right="0" w:firstLine="576"/>
        <w:jc w:val="left"/>
      </w:pPr>
      <w:r>
        <w:rPr/>
        <w:t xml:space="preserve">(c) </w:t>
      </w:r>
      <w:r>
        <w:t>((</w:t>
      </w:r>
      <w:r>
        <w:rPr>
          <w:strike/>
        </w:rPr>
        <w:t xml:space="preserve">In cities with over five hundred thousand residents, notice of scoping for such a nonproject environmental impact statement and notice of the community meeting required by this section must be mailed to all small businesses as defined in RCW 19.85.020, and to all community preservation and development authorities established under chapter 43.167 RCW, located within the subarea to be studied or within one hundred fifty feet of the boundaries of such subarea. The process for community involvement must have the goal of fair treatment and meaningful involvement of all people with respect to the development and implementation of the subarea planning process.</w:t>
      </w:r>
    </w:p>
    <w:p>
      <w:pPr>
        <w:spacing w:before="0" w:after="0" w:line="408" w:lineRule="exact"/>
        <w:ind w:left="0" w:right="0" w:firstLine="576"/>
        <w:jc w:val="left"/>
      </w:pPr>
      <w:r>
        <w:rPr>
          <w:strike/>
        </w:rPr>
        <w:t xml:space="preserve">(d)</w:t>
      </w:r>
      <w:r>
        <w:t>))</w:t>
      </w:r>
      <w:r>
        <w:rPr/>
        <w:t xml:space="preserve"> The notice of the community meeting must include general illustrations and descriptions of buildings generally representative of the maximum building envelope that will be allowed under the proposed plan and indicate that future appeals of proposed developments that are consistent with the plan will be limited. Notice of the community meeting must include signs located on major travel routes in the subarea. If the building envelope increases during the process, another notice complying with the requirements of this section must be issued before the next public involvement opportunity.</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Any person that has standing to appeal the adoption of this subarea plan or the implementing regulations under RCW 36.70A.280 has standing to bring an appeal of the nonproject environmental impact statement required by this subsection.</w:t>
      </w:r>
    </w:p>
    <w:p>
      <w:pPr>
        <w:spacing w:before="0" w:after="0" w:line="408" w:lineRule="exact"/>
        <w:ind w:left="0" w:right="0" w:firstLine="576"/>
        <w:jc w:val="left"/>
      </w:pPr>
      <w:r>
        <w:t>((</w:t>
      </w:r>
      <w:r>
        <w:rPr>
          <w:strike/>
        </w:rPr>
        <w:t xml:space="preserve">(f) Cities with over five hundred thousand residents shall prepare a study that accompanies or is appended to the nonproject environmental impact statement, but must not be part of that statement, that analyzes the extent to which the proposed subarea plan may result in the displacement or fragmentation of existing businesses, existing residents, including people living with poverty, families with children, and intergenerational households, or cultural groups within the proposed subarea plan. The city shall also discuss the results of the analysis at the community meeting.</w:t>
      </w:r>
    </w:p>
    <w:p>
      <w:pPr>
        <w:spacing w:before="0" w:after="0" w:line="408" w:lineRule="exact"/>
        <w:ind w:left="0" w:right="0" w:firstLine="576"/>
        <w:jc w:val="left"/>
      </w:pPr>
      <w:r>
        <w:rPr>
          <w:strike/>
        </w:rPr>
        <w:t xml:space="preserve">(g)</w:t>
      </w:r>
      <w:r>
        <w:t>))</w:t>
      </w:r>
      <w:r>
        <w:rPr/>
        <w:t xml:space="preserve"> </w:t>
      </w:r>
      <w:r>
        <w:rPr>
          <w:u w:val="single"/>
        </w:rPr>
        <w:t xml:space="preserve">(e)</w:t>
      </w:r>
      <w:r>
        <w:rPr/>
        <w:t xml:space="preserve"> As an incentive for development authorized under this section, a city shall consider establishing a transfer of development rights program in consultation with the county where the city is located, that conserves county-designated agricultural and forestland of long-term commercial significance. If the city decides not to establish a transfer of development rights program, the city must state in the record the reasons for not adopting the program. The city's decision not to establish a transfer of development rights program is not subject to appeal. Nothing in this subsection (4)</w:t>
      </w:r>
      <w:r>
        <w:t>((</w:t>
      </w:r>
      <w:r>
        <w:rPr>
          <w:strike/>
        </w:rPr>
        <w:t xml:space="preserve">(g)</w:t>
      </w:r>
      <w:r>
        <w:t>))</w:t>
      </w:r>
      <w:r>
        <w:rPr/>
        <w:t xml:space="preserve"> </w:t>
      </w:r>
      <w:r>
        <w:rPr>
          <w:u w:val="single"/>
        </w:rPr>
        <w:t xml:space="preserve">(e)</w:t>
      </w:r>
      <w:r>
        <w:rPr/>
        <w:t xml:space="preserve"> may be used as a basis to challenge the optional comprehensive plan or subarea plan policies authorized under this section.</w:t>
      </w:r>
    </w:p>
    <w:p>
      <w:pPr>
        <w:spacing w:before="0" w:after="0" w:line="408" w:lineRule="exact"/>
        <w:ind w:left="0" w:right="0" w:firstLine="576"/>
        <w:jc w:val="left"/>
      </w:pPr>
      <w:r>
        <w:rPr/>
        <w:t xml:space="preserve">(5)(a) Until July 1, </w:t>
      </w:r>
      <w:r>
        <w:t>((</w:t>
      </w:r>
      <w:r>
        <w:rPr>
          <w:strike/>
        </w:rPr>
        <w:t xml:space="preserve">2018</w:t>
      </w:r>
      <w:r>
        <w:t>))</w:t>
      </w:r>
      <w:r>
        <w:rPr/>
        <w:t xml:space="preserve"> </w:t>
      </w:r>
      <w:r>
        <w:rPr>
          <w:u w:val="single"/>
        </w:rPr>
        <w:t xml:space="preserve">2029</w:t>
      </w:r>
      <w:r>
        <w:rPr/>
        <w:t xml:space="preserve">, a proposed development that </w:t>
      </w:r>
      <w:r>
        <w:rPr>
          <w:u w:val="single"/>
        </w:rPr>
        <w:t xml:space="preserve">meets the criteria of (b) of this subsection 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the following time frames:</w:t>
      </w:r>
    </w:p>
    <w:p>
      <w:pPr>
        <w:spacing w:before="0" w:after="0" w:line="408" w:lineRule="exact"/>
        <w:ind w:left="0" w:right="0" w:firstLine="576"/>
        <w:jc w:val="left"/>
      </w:pPr>
      <w:r>
        <w:rPr>
          <w:u w:val="single"/>
        </w:rPr>
        <w:t xml:space="preserve">(i) Nineteen years from the date of issuance of the final environmental impact statement, for projects that are consistent with an optional element adopted by a city as of the effective date of this section; or</w:t>
      </w:r>
    </w:p>
    <w:p>
      <w:pPr>
        <w:spacing w:before="0" w:after="0" w:line="408" w:lineRule="exact"/>
        <w:ind w:left="0" w:right="0" w:firstLine="576"/>
        <w:jc w:val="left"/>
      </w:pPr>
      <w:r>
        <w:rPr>
          <w:u w:val="single"/>
        </w:rPr>
        <w:t xml:space="preserve">(ii) Ten years from the date of issuance of the final environmental impact statement, for projects that are consistent with an optional element adopted by a city after the effective date of this section.</w:t>
      </w:r>
    </w:p>
    <w:p>
      <w:pPr>
        <w:spacing w:before="0" w:after="0" w:line="408" w:lineRule="exact"/>
        <w:ind w:left="0" w:right="0" w:firstLine="576"/>
        <w:jc w:val="left"/>
      </w:pPr>
      <w:r>
        <w:rPr>
          <w:u w:val="single"/>
        </w:rPr>
        <w:t xml:space="preserve">(b) A proposed development may not be challenged, consistent with the timelines established in (a) of this subsection, so long as the development:</w:t>
      </w:r>
    </w:p>
    <w:p>
      <w:pPr>
        <w:spacing w:before="0" w:after="0" w:line="408" w:lineRule="exact"/>
        <w:ind w:left="0" w:right="0" w:firstLine="576"/>
        <w:jc w:val="left"/>
      </w:pPr>
      <w:r>
        <w:rPr>
          <w:u w:val="single"/>
        </w:rPr>
        <w:t xml:space="preserve">(i) I</w:t>
      </w:r>
      <w:r>
        <w:rPr/>
        <w:t xml:space="preserve">s consistent with the optional comprehensive plan or subarea plan policies and development regulations adopted under subsection (1) or (2) of this section</w:t>
      </w:r>
      <w:r>
        <w:rPr>
          <w:u w:val="single"/>
        </w:rPr>
        <w:t xml:space="preserve">;</w:t>
      </w:r>
    </w:p>
    <w:p>
      <w:pPr>
        <w:spacing w:before="0" w:after="0" w:line="408" w:lineRule="exact"/>
        <w:ind w:left="0" w:right="0" w:firstLine="576"/>
        <w:jc w:val="left"/>
      </w:pPr>
      <w:r>
        <w:rPr>
          <w:u w:val="single"/>
        </w:rPr>
        <w:t xml:space="preserve">(ii) Sets aside or requires the occupancy of at least ten percent of the dwelling units, or a greater percentage as determined by city development regulations, within the development for low-income households at a sale price or rental amount that is considered affordable by a city's housing programs. This subsection (5)(b)(ii) applies only to projects that are consistent with an optional element adopted by a city pursuant to this section after the effective date of this section;</w:t>
      </w:r>
      <w:r>
        <w:rPr/>
        <w:t xml:space="preserve"> and </w:t>
      </w:r>
      <w:r>
        <w:t>((</w:t>
      </w:r>
      <w:r>
        <w:rPr>
          <w:strike/>
        </w:rPr>
        <w:t xml:space="preserve">that</w:t>
      </w:r>
      <w:r>
        <w:t>))</w:t>
      </w:r>
    </w:p>
    <w:p>
      <w:pPr>
        <w:spacing w:before="0" w:after="0" w:line="408" w:lineRule="exact"/>
        <w:ind w:left="0" w:right="0" w:firstLine="576"/>
        <w:jc w:val="left"/>
      </w:pPr>
      <w:r>
        <w:rPr>
          <w:u w:val="single"/>
        </w:rPr>
        <w:t xml:space="preserve">(iii) I</w:t>
      </w:r>
      <w:r>
        <w:rPr/>
        <w:t xml:space="preserve">s environmentally reviewed under subsection (4) of this section </w:t>
      </w:r>
      <w:r>
        <w:t>((</w:t>
      </w:r>
      <w:r>
        <w:rPr>
          <w:strike/>
        </w:rPr>
        <w:t xml:space="preserve">may not be challenged in administrative or judicial appeals for noncompliance with this chapter as long as a complete application for such a development that vests the application or would later lead to vested status under city or state law is submitted to the city within a time frame established by the city, but not to exceed ten years from the date of issuance of the final environmental impact statement</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After July 1, </w:t>
      </w:r>
      <w:r>
        <w:t>((</w:t>
      </w:r>
      <w:r>
        <w:rPr>
          <w:strike/>
        </w:rPr>
        <w:t xml:space="preserve">2018</w:t>
      </w:r>
      <w:r>
        <w:t>))</w:t>
      </w:r>
      <w:r>
        <w:rPr/>
        <w:t xml:space="preserve"> </w:t>
      </w:r>
      <w:r>
        <w:rPr>
          <w:u w:val="single"/>
        </w:rPr>
        <w:t xml:space="preserve">2029</w:t>
      </w:r>
      <w:r>
        <w:rPr/>
        <w:t xml:space="preserve">, the immunity from appeals under this chapter of any application that vests or will vest under this subsection or the ability to vest under this subsection is still valid, provided that the final subarea environmental impact statement is issued by July 1, </w:t>
      </w:r>
      <w:r>
        <w:t>((</w:t>
      </w:r>
      <w:r>
        <w:rPr>
          <w:strike/>
        </w:rPr>
        <w:t xml:space="preserve">2018</w:t>
      </w:r>
      <w:r>
        <w:t>))</w:t>
      </w:r>
      <w:r>
        <w:rPr/>
        <w:t xml:space="preserve"> </w:t>
      </w:r>
      <w:r>
        <w:rPr>
          <w:u w:val="single"/>
        </w:rPr>
        <w:t xml:space="preserve">2029</w:t>
      </w:r>
      <w:r>
        <w:rPr/>
        <w:t xml:space="preserve">. After July 1, </w:t>
      </w:r>
      <w:r>
        <w:t>((</w:t>
      </w:r>
      <w:r>
        <w:rPr>
          <w:strike/>
        </w:rPr>
        <w:t xml:space="preserve">2018</w:t>
      </w:r>
      <w:r>
        <w:t>))</w:t>
      </w:r>
      <w:r>
        <w:rPr/>
        <w:t xml:space="preserve"> </w:t>
      </w:r>
      <w:r>
        <w:rPr>
          <w:u w:val="single"/>
        </w:rPr>
        <w:t xml:space="preserve">2029</w:t>
      </w:r>
      <w:r>
        <w:rPr/>
        <w:t xml:space="preserve">, a city may continue to collect reimbursement fees under subsection (6) of this section for the proportionate share of a subarea environmental impact statement issued prior to July 1, </w:t>
      </w:r>
      <w:r>
        <w:t>((</w:t>
      </w:r>
      <w:r>
        <w:rPr>
          <w:strike/>
        </w:rPr>
        <w:t xml:space="preserve">2018</w:t>
      </w:r>
      <w:r>
        <w:t>))</w:t>
      </w:r>
      <w:r>
        <w:rPr/>
        <w:t xml:space="preserve"> </w:t>
      </w:r>
      <w:r>
        <w:rPr>
          <w:u w:val="single"/>
        </w:rPr>
        <w:t xml:space="preserve">2029</w:t>
      </w:r>
      <w:r>
        <w:rPr/>
        <w:t xml:space="preserve">.</w:t>
      </w:r>
    </w:p>
    <w:p>
      <w:pPr>
        <w:spacing w:before="0" w:after="0" w:line="408" w:lineRule="exact"/>
        <w:ind w:left="0" w:right="0" w:firstLine="576"/>
        <w:jc w:val="left"/>
      </w:pPr>
      <w:r>
        <w:rPr/>
        <w:t xml:space="preserve">(6) It is recognized that a city that prepares a nonproject environmental impact statement under subsection (4) of this section must endure a substantial financial burden. A city may recover </w:t>
      </w:r>
      <w:r>
        <w:rPr>
          <w:u w:val="single"/>
        </w:rPr>
        <w:t xml:space="preserve">or apply for a grant or loan to prospectively cover</w:t>
      </w:r>
      <w:r>
        <w:rPr/>
        <w:t xml:space="preserve"> its reasonable expenses of preparation of a nonproject environmental impact statement prepared under subsection (4) of this section through access to financial assistance under RCW 36.70A.490 or funding from private sources. In addition, a city is authorized to recover a portion of its reasonable expenses of preparation of such a nonproject environmental impact statement by the assessment of reasonable and proportionate fees upon subsequent development that is consistent with the plan and development regulations adopted under subsection (5) of this section, as long as the development makes use of and benefits </w:t>
      </w:r>
      <w:r>
        <w:t>((</w:t>
      </w:r>
      <w:r>
        <w:rPr>
          <w:strike/>
        </w:rPr>
        <w:t xml:space="preserve">[from]</w:t>
      </w:r>
      <w:r>
        <w:t>))</w:t>
      </w:r>
      <w:r>
        <w:rPr/>
        <w:t xml:space="preserve"> </w:t>
      </w:r>
      <w:r>
        <w:rPr>
          <w:u w:val="single"/>
        </w:rPr>
        <w:t xml:space="preserve">from</w:t>
      </w:r>
      <w:r>
        <w:rPr/>
        <w:t xml:space="preserve">, as described in subsection (5) of this section, </w:t>
      </w:r>
      <w:r>
        <w:t>((</w:t>
      </w:r>
      <w:r>
        <w:rPr>
          <w:strike/>
        </w:rPr>
        <w:t xml:space="preserve">from</w:t>
      </w:r>
      <w:r>
        <w:t>))</w:t>
      </w:r>
      <w:r>
        <w:rPr/>
        <w:t xml:space="preserve"> the nonproject environmental impact statement prepared by the city. Any assessment fees collected from subsequent development may be used to reimburse funding received from private sources. In order to collect such fees, the city must enact an ordinance that sets forth objective standards for determining how the fees to be imposed upon each development will be proportionate to the impacts of each development and to the benefits accruing to each development from the nonproject environmental impact statement. Any disagreement about the reasonableness or amount of the fees imposed upon a development may not be the basis for delay in issuance of a project permit for that development. The fee assessed by the city may be paid with the written stipulation "paid under protest" and if the city provides for an administrative appeal of its decision on the project for which the fees are imposed, any dispute about the amount of the fees must be resolved in the same administrative appeal process.</w:t>
      </w:r>
    </w:p>
    <w:p>
      <w:pPr>
        <w:spacing w:before="0" w:after="0" w:line="408" w:lineRule="exact"/>
        <w:ind w:left="0" w:right="0" w:firstLine="576"/>
        <w:jc w:val="left"/>
      </w:pPr>
      <w:r>
        <w:rPr/>
        <w:t xml:space="preserve">(7) If a proposed development is inconsistent with the optional comprehensive plan or subarea plan policies and development regulations adopted under subsection (1) of this section, the city shall require additional environmental review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490</w:t>
      </w:r>
      <w:r>
        <w:rPr/>
        <w:t xml:space="preserve"> and 2012 1st sp.s. c 1 s 309 are each amended to read as follows:</w:t>
      </w:r>
    </w:p>
    <w:p>
      <w:pPr>
        <w:spacing w:before="0" w:after="0" w:line="408" w:lineRule="exact"/>
        <w:ind w:left="0" w:right="0" w:firstLine="576"/>
        <w:jc w:val="left"/>
      </w:pPr>
      <w:r>
        <w:rPr/>
        <w:t xml:space="preserve">The growth management planning and environmental review fund is hereby established in the state treasury. Moneys may be placed in the fund from the proceeds of bond sales, tax revenues, budget transfers, federal appropriations, gifts, or any other lawful source. Moneys in the fund may be spent only after appropriation. Moneys in the fund shall be used to make grants or loans to local governments for the purposes set forth in RCW 43.21C.240, 43.21C.031, </w:t>
      </w:r>
      <w:r>
        <w:t>((</w:t>
      </w:r>
      <w:r>
        <w:rPr>
          <w:strike/>
        </w:rPr>
        <w:t xml:space="preserve">or</w:t>
      </w:r>
      <w:r>
        <w:t>))</w:t>
      </w:r>
      <w:r>
        <w:rPr/>
        <w:t xml:space="preserve"> 36.70A.500</w:t>
      </w:r>
      <w:r>
        <w:rPr>
          <w:u w:val="single"/>
        </w:rPr>
        <w:t xml:space="preserve">, section 1 of this act, and to cover costs associated with the adoption of optional elements of comprehensive plans consistent with RCW 43.21C.420</w:t>
      </w:r>
      <w:r>
        <w:rPr/>
        <w:t xml:space="preserve">. Any payment of either principal or interest, or both, derived from loans made from this fund must be deposited into the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 city may not prohibit permanent supportive housing in areas where multifamily housing is permitted.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 A code city may not prohibit permanent supportive housing in areas where multifamily housing is permitted.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060</w:t>
      </w:r>
      <w:r>
        <w:rPr/>
        <w:t xml:space="preserve"> and 2012 c 200 s 1 are each amended to read as follows:</w:t>
      </w:r>
    </w:p>
    <w:p>
      <w:pPr>
        <w:spacing w:before="0" w:after="0" w:line="408" w:lineRule="exact"/>
        <w:ind w:left="0" w:right="0" w:firstLine="576"/>
        <w:jc w:val="left"/>
      </w:pPr>
      <w:r>
        <w:rPr/>
        <w:t xml:space="preserve">The local ordinance by which impact fees are imposed:</w:t>
      </w:r>
    </w:p>
    <w:p>
      <w:pPr>
        <w:spacing w:before="0" w:after="0" w:line="408" w:lineRule="exact"/>
        <w:ind w:left="0" w:right="0" w:firstLine="576"/>
        <w:jc w:val="left"/>
      </w:pPr>
      <w:r>
        <w:rPr/>
        <w:t xml:space="preserve">(1) Shall include a schedule of impact fees which shall be adopted for each type of development activity that is subject to impact fees, specifying the amount of the impact fee to be imposed for each type of system improvement. The schedule shall be based upon a formula or other method of calculating such impact fees. In determining proportionate share, the formula or other method of calculating impact fees shall incorporate, among other things, the following:</w:t>
      </w:r>
    </w:p>
    <w:p>
      <w:pPr>
        <w:spacing w:before="0" w:after="0" w:line="408" w:lineRule="exact"/>
        <w:ind w:left="0" w:right="0" w:firstLine="576"/>
        <w:jc w:val="left"/>
      </w:pPr>
      <w:r>
        <w:rPr/>
        <w:t xml:space="preserve">(a) The cost of public facilities necessitated by new development;</w:t>
      </w:r>
    </w:p>
    <w:p>
      <w:pPr>
        <w:spacing w:before="0" w:after="0" w:line="408" w:lineRule="exact"/>
        <w:ind w:left="0" w:right="0" w:firstLine="576"/>
        <w:jc w:val="left"/>
      </w:pPr>
      <w:r>
        <w:rPr/>
        <w:t xml:space="preserve">(b) An adjustment to the cost of the public facilities for past or future payments made or reasonably anticipated to be made by new development to pay for particular system improvements in the form of user fees, debt service payments, taxes, or other payments earmarked for or proratable to the particular system improvement;</w:t>
      </w:r>
    </w:p>
    <w:p>
      <w:pPr>
        <w:spacing w:before="0" w:after="0" w:line="408" w:lineRule="exact"/>
        <w:ind w:left="0" w:right="0" w:firstLine="576"/>
        <w:jc w:val="left"/>
      </w:pPr>
      <w:r>
        <w:rPr/>
        <w:t xml:space="preserve">(c) The availability of other means of funding public facility improvements;</w:t>
      </w:r>
    </w:p>
    <w:p>
      <w:pPr>
        <w:spacing w:before="0" w:after="0" w:line="408" w:lineRule="exact"/>
        <w:ind w:left="0" w:right="0" w:firstLine="576"/>
        <w:jc w:val="left"/>
      </w:pPr>
      <w:r>
        <w:rPr/>
        <w:t xml:space="preserve">(d) The cost of existing public facilities improvements; and</w:t>
      </w:r>
    </w:p>
    <w:p>
      <w:pPr>
        <w:spacing w:before="0" w:after="0" w:line="408" w:lineRule="exact"/>
        <w:ind w:left="0" w:right="0" w:firstLine="576"/>
        <w:jc w:val="left"/>
      </w:pPr>
      <w:r>
        <w:rPr/>
        <w:t xml:space="preserve">(e) The methods by which public facilities improvements were financed;</w:t>
      </w:r>
    </w:p>
    <w:p>
      <w:pPr>
        <w:spacing w:before="0" w:after="0" w:line="408" w:lineRule="exact"/>
        <w:ind w:left="0" w:right="0" w:firstLine="576"/>
        <w:jc w:val="left"/>
      </w:pPr>
      <w:r>
        <w:rPr/>
        <w:t xml:space="preserve">(2) May provide an exemption for low-income housing, and other development activities with broad public purposes, from these impact fees, provided that the impact fees for such development activity shall be paid from public funds other than impact fee accounts;</w:t>
      </w:r>
    </w:p>
    <w:p>
      <w:pPr>
        <w:spacing w:before="0" w:after="0" w:line="408" w:lineRule="exact"/>
        <w:ind w:left="0" w:right="0" w:firstLine="576"/>
        <w:jc w:val="left"/>
      </w:pPr>
      <w:r>
        <w:rPr/>
        <w:t xml:space="preserve">(3) May provide an exemption from impact fees for low-income housing. Local governments that grant exemptions for low-income housing under this subsection (3) may either: Grant a partial exemption of not more than eighty percent of impact fees, in which case there is no explicit requirement to pay the exempted portion of the fee from public funds other than impact fee accounts; or provide a full waiver, in which case the remaining percentage of the exempted fee must be paid from public funds other than impact fee accounts. An exemption for low-income housing granted under subsection (2) of this section or this subsection (3) must be conditioned upon requiring the developer to record a covenant that, except as provided otherwise by this subsection, prohibits using the property for any purpose other than for low-income housing. At a minimum, the covenant must address price restrictions and household income limits for the low-income housing, and that if the property is converted to a use other than for low-income housing, the property owner must pay the applicable impact fees in effect at the time of conversion. Covenants required by this subsection must be recorded with the applicable county auditor or recording officer. A local government granting an exemption under subsection (2) of this section or this subsection (3) for low-income housing may not collect revenue lost through granting an exemption by increasing impact fees unrelated to the exemption. A school district who receives school impact fees must approve any exemption under subsection (2) of this section or this subsection (3);</w:t>
      </w:r>
    </w:p>
    <w:p>
      <w:pPr>
        <w:spacing w:before="0" w:after="0" w:line="408" w:lineRule="exact"/>
        <w:ind w:left="0" w:right="0" w:firstLine="576"/>
        <w:jc w:val="left"/>
      </w:pPr>
      <w:r>
        <w:rPr/>
        <w:t xml:space="preserve">(4) </w:t>
      </w:r>
      <w:r>
        <w:rPr>
          <w:u w:val="single"/>
        </w:rPr>
        <w:t xml:space="preserve">May not charge a higher per unit fee for multifamily residential construction than for single-family residential construction;</w:t>
      </w:r>
    </w:p>
    <w:p>
      <w:pPr>
        <w:spacing w:before="0" w:after="0" w:line="408" w:lineRule="exact"/>
        <w:ind w:left="0" w:right="0" w:firstLine="576"/>
        <w:jc w:val="left"/>
      </w:pPr>
      <w:r>
        <w:rPr>
          <w:u w:val="single"/>
        </w:rPr>
        <w:t xml:space="preserve">(5)</w:t>
      </w:r>
      <w:r>
        <w:rPr/>
        <w:t xml:space="preserve"> Shall provide a credit for the value of any dedication of land for, improvement to, or new construction of any system improvements provided by the developer, to facilities that are identified in the capital facilities plan and that are required by the county, city, or town as a condition of approving the development activity;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Shall allow the county, city, or town imposing the impact fees to adjust the standard impact fee at the time the fee is imposed to consider unusual circumstances in specific cases to ensure that impact fees are imposed fairly;</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Shall include a provision for calculating the amount of the fee to be imposed on a particular development that permits consideration of studies and data submitted by the developer to adjust the amount of the fee;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Shall establish one or more reasonable service areas within which it shall calculate and impose impact fees for various land use categories per unit of development; </w:t>
      </w:r>
      <w:r>
        <w:t>((</w:t>
      </w:r>
      <w:r>
        <w:rPr>
          <w:strike/>
        </w:rPr>
        <w:t xml:space="preserve">and</w:t>
      </w:r>
    </w:p>
    <w:p>
      <w:pPr>
        <w:spacing w:before="0" w:after="0" w:line="408" w:lineRule="exact"/>
        <w:ind w:left="0" w:right="0" w:firstLine="576"/>
        <w:jc w:val="left"/>
      </w:pPr>
      <w:r>
        <w:rPr>
          <w:strike/>
        </w:rPr>
        <w:t xml:space="preserve">(8)</w:t>
      </w:r>
      <w:r>
        <w:t>))</w:t>
      </w:r>
      <w:r>
        <w:rPr/>
        <w:t xml:space="preserve"> </w:t>
      </w:r>
      <w:r>
        <w:rPr>
          <w:u w:val="single"/>
        </w:rPr>
        <w:t xml:space="preserve">(9)</w:t>
      </w:r>
      <w:r>
        <w:rPr/>
        <w:t xml:space="preserve"> May provide for the imposition of an impact fee for system improvement costs previously incurred by a county, city, or town to the extent that new growth and development will be served by the previously constructed improvements provided such fee shall not be imposed to make up for any system improvement deficiencies</w:t>
      </w:r>
      <w:r>
        <w:rPr>
          <w:u w:val="single"/>
        </w:rPr>
        <w:t xml:space="preserve">; and</w:t>
      </w:r>
    </w:p>
    <w:p>
      <w:pPr>
        <w:spacing w:before="0" w:after="0" w:line="408" w:lineRule="exact"/>
        <w:ind w:left="0" w:right="0" w:firstLine="576"/>
        <w:jc w:val="left"/>
      </w:pPr>
      <w:r>
        <w:rPr>
          <w:u w:val="single"/>
        </w:rPr>
        <w:t xml:space="preserve">(10) May not impose impact fees that cumulatively amount to more than fifty thousand dollars for any single-family residential unit</w:t>
      </w:r>
      <w:r>
        <w:rPr/>
        <w:t xml:space="preserve">.</w:t>
      </w:r>
    </w:p>
    <w:p>
      <w:pPr>
        <w:spacing w:before="0" w:after="0" w:line="408" w:lineRule="exact"/>
        <w:ind w:left="0" w:right="0" w:firstLine="576"/>
        <w:jc w:val="left"/>
      </w:pPr>
      <w:r>
        <w:rPr/>
        <w:t xml:space="preserve">For purposes of this section, "low-income housing" means housing with a monthly housing expense, that is no greater than thirty percent of eighty percent of the median </w:t>
      </w:r>
      <w:r>
        <w:t>((</w:t>
      </w:r>
      <w:r>
        <w:rPr>
          <w:strike/>
        </w:rPr>
        <w:t xml:space="preserve">family</w:t>
      </w:r>
      <w:r>
        <w:t>))</w:t>
      </w:r>
      <w:r>
        <w:rPr/>
        <w:t xml:space="preserve"> </w:t>
      </w:r>
      <w:r>
        <w:rPr>
          <w:u w:val="single"/>
        </w:rPr>
        <w:t xml:space="preserve">household</w:t>
      </w:r>
      <w:r>
        <w:rPr/>
        <w:t xml:space="preserve"> income adjusted for </w:t>
      </w:r>
      <w:r>
        <w:t>((</w:t>
      </w:r>
      <w:r>
        <w:rPr>
          <w:strike/>
        </w:rPr>
        <w:t xml:space="preserve">family</w:t>
      </w:r>
      <w:r>
        <w:t>))</w:t>
      </w:r>
      <w:r>
        <w:rPr/>
        <w:t xml:space="preserve"> </w:t>
      </w:r>
      <w:r>
        <w:rPr>
          <w:u w:val="single"/>
        </w:rPr>
        <w:t xml:space="preserve">household</w:t>
      </w:r>
      <w:r>
        <w:rPr/>
        <w:t xml:space="preserve"> size, for the county where the project is located, as reported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1 of this act, referencing section 1 of this act by bill or chapter number and section number, and amounting to not less than one hundred thousand dollars per city subject to section 1 of this act, is not provided by June 30, 2019, in the omnibus appropriations act, section 1 of this act is null and void."</w:t>
      </w:r>
    </w:p>
    <w:p>
      <w:pPr>
        <w:spacing w:before="480" w:after="0" w:line="408" w:lineRule="exact"/>
      </w:pPr>
      <w:r>
        <w:rPr>
          <w:b/>
          <w:u w:val="single"/>
        </w:rPr>
        <w:t xml:space="preserve">E2SHB 1923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Stability &amp; Affordability</w:t>
      </w:r>
    </w:p>
    <w:p>
      <w:pPr>
        <w:jc w:val="right"/>
      </w:pPr>
      <w:r>
        <w:rPr>
          <w:b/>
        </w:rPr>
        <w:t xml:space="preserve">NOT ADOPTED 04/13/2019</w:t>
      </w:r>
    </w:p>
    <w:p>
      <w:pPr>
        <w:spacing w:before="0" w:after="0" w:line="408" w:lineRule="exact"/>
        <w:ind w:left="0" w:right="0" w:firstLine="576"/>
        <w:jc w:val="left"/>
      </w:pPr>
      <w:r>
        <w:rPr/>
        <w:t xml:space="preserve">On page 1, line 2 of the title, after "capacity;" strike the remainder of the title and insert "amending RCW 36.70A.030, 43.21C.420, 36.70A.490, and 82.02.060; adding new sections to chapter 36.70A RCW; adding new sections to chapter 43.21C RCW; adding a new section to chapter 35.21 RCW; adding a new section to chapter 35A.21 RCW; and creating a new section."</w:t>
      </w:r>
    </w:p>
    <w:p>
      <w:pPr>
        <w:spacing w:before="0" w:after="0" w:line="408" w:lineRule="exact"/>
        <w:ind w:left="0" w:right="0" w:firstLine="576"/>
        <w:jc w:val="left"/>
      </w:pPr>
      <w:r>
        <w:rPr>
          <w:u w:val="single"/>
        </w:rPr>
        <w:t xml:space="preserve">EFFECT:</w:t>
      </w:r>
      <w:r>
        <w:rPr/>
        <w:t xml:space="preserve"> (1) Requires, rather than encourages, cities over 20,000 in population to select at least two or more actions to increase residential density by December 31, 2022.</w:t>
      </w:r>
    </w:p>
    <w:p>
      <w:pPr>
        <w:spacing w:before="0" w:after="0" w:line="408" w:lineRule="exact"/>
        <w:ind w:left="0" w:right="0" w:firstLine="576"/>
        <w:jc w:val="left"/>
      </w:pPr>
      <w:r>
        <w:rPr/>
        <w:t xml:space="preserve">(2) Adds forming or joining existing subregional partnerships with neighboring jurisdictions to implement and promote affordable housing programs as an action item a city may select to increase residential density.</w:t>
      </w:r>
    </w:p>
    <w:p>
      <w:pPr>
        <w:spacing w:before="0" w:after="0" w:line="408" w:lineRule="exact"/>
        <w:ind w:left="0" w:right="0" w:firstLine="576"/>
        <w:jc w:val="left"/>
      </w:pPr>
      <w:r>
        <w:rPr/>
        <w:t xml:space="preserve">(3) Adds a 20 percent density bonus for all residential development projects when at least 10 percent of the total units within the project are provided as affordable housing as an action item a city may select to increase residential density.</w:t>
      </w:r>
    </w:p>
    <w:p>
      <w:pPr>
        <w:spacing w:before="0" w:after="0" w:line="408" w:lineRule="exact"/>
        <w:ind w:left="0" w:right="0" w:firstLine="576"/>
        <w:jc w:val="left"/>
      </w:pPr>
      <w:r>
        <w:rPr/>
        <w:t xml:space="preserve">(4) Encourages cities under 20,000 in population to take one or more action items to increase residential density.</w:t>
      </w:r>
    </w:p>
    <w:p>
      <w:pPr>
        <w:spacing w:before="0" w:after="0" w:line="408" w:lineRule="exact"/>
        <w:ind w:left="0" w:right="0" w:firstLine="576"/>
        <w:jc w:val="left"/>
      </w:pPr>
      <w:r>
        <w:rPr/>
        <w:t xml:space="preserve">(5) Amendments to development regulations and other nonproject actions taken by a city to add residential density requirements are exempt from appeals under SEPA, rather than categorically exempt from SEPA.</w:t>
      </w:r>
    </w:p>
    <w:p>
      <w:pPr>
        <w:spacing w:before="0" w:after="0" w:line="408" w:lineRule="exact"/>
        <w:ind w:left="0" w:right="0" w:firstLine="576"/>
        <w:jc w:val="left"/>
      </w:pPr>
      <w:r>
        <w:rPr/>
        <w:t xml:space="preserve">(6) Directs the Center for Real Estate Research at the University of Washington, in collaboration with the Housing Finance Commission and the Office of Financial Management, to produce a report every two years compiling housing supply and affordability metrics for each city planning under the GMA.</w:t>
      </w:r>
    </w:p>
    <w:p>
      <w:pPr>
        <w:spacing w:before="0" w:after="0" w:line="408" w:lineRule="exact"/>
        <w:ind w:left="0" w:right="0" w:firstLine="576"/>
        <w:jc w:val="left"/>
      </w:pPr>
      <w:r>
        <w:rPr/>
        <w:t xml:space="preserve">(7) A city that has complied with requirements to take at least two actions to increase residential density is eligible to apply to the Department of Commerce for a one-time grant of $100,000.</w:t>
      </w:r>
    </w:p>
    <w:p>
      <w:pPr>
        <w:spacing w:before="0" w:after="0" w:line="408" w:lineRule="exact"/>
        <w:ind w:left="0" w:right="0" w:firstLine="576"/>
        <w:jc w:val="left"/>
      </w:pPr>
      <w:r>
        <w:rPr/>
        <w:t xml:space="preserve">(8) Encourages cities to prioritize creating affordable, inclusive neighborhoods and consider displacement.</w:t>
      </w:r>
    </w:p>
    <w:p>
      <w:pPr>
        <w:spacing w:before="0" w:after="0" w:line="408" w:lineRule="exact"/>
        <w:ind w:left="0" w:right="0" w:firstLine="576"/>
        <w:jc w:val="left"/>
      </w:pPr>
      <w:r>
        <w:rPr/>
        <w:t xml:space="preserve">(9) Modifies parking requirements for certain affordable housing units that are affordable to very low-income or extremely low-income individuals near transit locations.</w:t>
      </w:r>
    </w:p>
    <w:p>
      <w:pPr>
        <w:spacing w:before="0" w:after="0" w:line="408" w:lineRule="exact"/>
        <w:ind w:left="0" w:right="0" w:firstLine="576"/>
        <w:jc w:val="left"/>
      </w:pPr>
      <w:r>
        <w:rPr/>
        <w:t xml:space="preserve">(10) Removes the requirement for cities over 500,000 regarding notice of scoping for a nonproject EIS related to a subarea plan.</w:t>
      </w:r>
    </w:p>
    <w:p>
      <w:pPr>
        <w:spacing w:before="0" w:after="0" w:line="408" w:lineRule="exact"/>
        <w:ind w:left="0" w:right="0" w:firstLine="576"/>
        <w:jc w:val="left"/>
      </w:pPr>
      <w:r>
        <w:rPr/>
        <w:t xml:space="preserve">(11) Removes the requirement for cities over 500,000 to analyze whether an adopted subarea plan will result in displacement or fragmentation of certain populations.</w:t>
      </w:r>
    </w:p>
    <w:p>
      <w:pPr>
        <w:spacing w:before="0" w:after="0" w:line="408" w:lineRule="exact"/>
        <w:ind w:left="0" w:right="0" w:firstLine="576"/>
        <w:jc w:val="left"/>
      </w:pPr>
      <w:r>
        <w:rPr/>
        <w:t xml:space="preserve">(12) A city may not prohibit permanent supportive housing in areas where multifamily housing are permitted.</w:t>
      </w:r>
    </w:p>
    <w:p>
      <w:pPr>
        <w:spacing w:before="0" w:after="0" w:line="408" w:lineRule="exact"/>
        <w:ind w:left="0" w:right="0" w:firstLine="576"/>
        <w:jc w:val="left"/>
      </w:pPr>
      <w:r>
        <w:rPr/>
        <w:t xml:space="preserve">(13) Adds a null and void clause if specific funding is not provided in the budget, including an amount not less than $100,000 per city subject to residential density requirements.</w:t>
      </w:r>
    </w:p>
    <w:p>
      <w:pPr>
        <w:spacing w:before="0" w:after="0" w:line="408" w:lineRule="exact"/>
        <w:ind w:left="0" w:right="0" w:firstLine="576"/>
        <w:jc w:val="left"/>
      </w:pPr>
      <w:r>
        <w:rPr/>
        <w:t xml:space="preserve">(14) Authorizes a city to adopt a housing action plan to encourage additional affordable and market rate housing as an alternative to adopting two action items to increase residential building capacity.</w:t>
      </w:r>
    </w:p>
    <w:p>
      <w:pPr>
        <w:spacing w:before="0" w:after="0" w:line="408" w:lineRule="exact"/>
        <w:ind w:left="0" w:right="0" w:firstLine="576"/>
        <w:jc w:val="left"/>
      </w:pPr>
      <w:r>
        <w:rPr/>
        <w:t xml:space="preserve">(15) Limits impact fees to less than $50,000 for any single-family residential unit.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bcb604dd714cae" /></Relationships>
</file>