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420ba5c90b4525" /></Relationships>
</file>

<file path=word/document.xml><?xml version="1.0" encoding="utf-8"?>
<w:document xmlns:w="http://schemas.openxmlformats.org/wordprocessingml/2006/main">
  <w:body>
    <w:p>
      <w:r>
        <w:rPr>
          <w:b/>
        </w:rPr>
        <w:r>
          <w:rPr/>
          <w:t xml:space="preserve">1923-S2.E</w:t>
        </w:r>
      </w:r>
      <w:r>
        <w:rPr>
          <w:b/>
        </w:rPr>
        <w:t xml:space="preserve"> </w:t>
        <w:t xml:space="preserve">AMS</w:t>
      </w:r>
      <w:r>
        <w:rPr>
          <w:b/>
        </w:rPr>
        <w:t xml:space="preserve"> </w:t>
        <w:r>
          <w:rPr/>
          <w:t xml:space="preserve">KUDE</w:t>
        </w:r>
      </w:r>
      <w:r>
        <w:rPr>
          <w:b/>
        </w:rPr>
        <w:t xml:space="preserve"> </w:t>
        <w:r>
          <w:rPr/>
          <w:t xml:space="preserve">S4105.1</w:t>
        </w:r>
      </w:r>
      <w:r>
        <w:rPr>
          <w:b/>
        </w:rPr>
        <w:t xml:space="preserve"> - NOT FOR FLOOR USE</w:t>
      </w:r>
    </w:p>
    <w:p>
      <w:pPr>
        <w:ind w:left="0" w:right="0" w:firstLine="576"/>
      </w:pPr>
    </w:p>
    <w:p>
      <w:pPr>
        <w:spacing w:before="480" w:after="0" w:line="408" w:lineRule="exact"/>
      </w:pPr>
      <w:r>
        <w:rPr>
          <w:b/>
          <w:u w:val="single"/>
        </w:rPr>
        <w:t xml:space="preserve">E2SHB 1923</w:t>
      </w:r>
      <w:r>
        <w:t xml:space="preserve"> -</w:t>
      </w:r>
      <w:r>
        <w:t xml:space="preserve"> </w:t>
        <w:t xml:space="preserve">S AMD</w:t>
      </w:r>
      <w:r>
        <w:t xml:space="preserve"> </w:t>
      </w:r>
      <w:r>
        <w:rPr>
          <w:b/>
        </w:rPr>
        <w:t xml:space="preserve">624</w:t>
      </w:r>
    </w:p>
    <w:p>
      <w:pPr>
        <w:spacing w:before="0" w:after="0" w:line="408" w:lineRule="exact"/>
        <w:ind w:left="0" w:right="0" w:firstLine="576"/>
        <w:jc w:val="left"/>
      </w:pPr>
      <w:r>
        <w:rPr/>
        <w:t xml:space="preserve">By Senator Kuderer</w:t>
      </w:r>
    </w:p>
    <w:p>
      <w:pPr>
        <w:jc w:val="right"/>
      </w:pPr>
      <w:r>
        <w:rPr>
          <w:b/>
        </w:rPr>
        <w:t xml:space="preserve">ADOPTED AS AMENDED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five hundred acres in cities with a population greater than forty thousand or not fewer than two hundred fifty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cluster zoning or lot size averaging in all zoning districts that permit single-family residences;</w:t>
      </w:r>
    </w:p>
    <w:p>
      <w:pPr>
        <w:spacing w:before="0" w:after="0" w:line="408" w:lineRule="exact"/>
        <w:ind w:left="0" w:right="0" w:firstLine="576"/>
        <w:jc w:val="left"/>
      </w:pPr>
      <w:r>
        <w:rPr/>
        <w:t xml:space="preserve">(e) Authorize attached accessory dwelling units on all parcels containing single-family homes where the lot is at least three thousand two hundred square feet in size, and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 and</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section 3 of this act.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2021,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2021, to amend their comprehensive plan solely to include actions taken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with a population over twenty thousand that is planning to take at least two actions under subsection (1) of this section, and that action will occur between the effective date of this section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is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that will seek grant assistance, to ensure that all cities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this act,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(11)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(12) "Minerals" include gravel, sand, and valuable metallic substances.</w:t>
      </w:r>
    </w:p>
    <w:p>
      <w:pPr>
        <w:spacing w:before="0" w:after="0" w:line="408" w:lineRule="exact"/>
        <w:ind w:left="0" w:right="0" w:firstLine="576"/>
        <w:jc w:val="left"/>
      </w:pPr>
      <w:r>
        <w:rPr/>
        <w:t xml:space="preserve">(13)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(14)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(15)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(16)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(17)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(18)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t xml:space="preserve">(20)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(21)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(22) "Urban growth areas" means those areas designated by a county pursuant to RCW 36.70A.110.</w:t>
      </w:r>
    </w:p>
    <w:p>
      <w:pPr>
        <w:spacing w:before="0" w:after="0" w:line="408" w:lineRule="exact"/>
        <w:ind w:left="0" w:right="0" w:firstLine="576"/>
        <w:jc w:val="left"/>
      </w:pPr>
      <w:r>
        <w:rPr/>
        <w:t xml:space="preserve">(23)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(24)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u w:val="single"/>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u w:val="single"/>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(25)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(27) "Permanent supportive housing" is subsidized, leased housing with no limit on length of stay, paired with on-site or off-site voluntary services designed to support a person living with a disability to be a successful tenant in a housing arrangement, improve the resident's health status, and connect residents of the housing with community-based health care, treatment, and employment services.</w:t>
      </w:r>
    </w:p>
    <w:p>
      <w:pPr>
        <w:spacing w:before="0" w:after="0" w:line="408" w:lineRule="exact"/>
        <w:ind w:left="0" w:right="0" w:firstLine="576"/>
        <w:jc w:val="left"/>
      </w:pPr>
      <w:r>
        <w:rPr>
          <w:u w:val="single"/>
        </w:rPr>
        <w:t xml:space="preserve">(28)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Washington center for real estate research at the University of Washington shall produce a report every two years that compiles housing supply and affordability metrics for each city planning under RCW 36.70A.040 with a population of ten thousand or more. The initial report, completed by October 15, 2020, must be a compilation of objective criteria relating to development regulations, zoning, income, housing and rental prices, housing affordability programs, and other metrics relevant to assessing housing supply and affordability for all income segments, including the percentage of cost-burdened households, of each city subject to the report required by this section. The report completed by October 15, 2022, must also include data relating to actions taken by cities under this act. The report completed by October 15, 2024, must also include relevant data relating to buildable lands reports prepared under RCW 36.70A.215, where applicable, and updates to comprehensive plans under this chapter. The Washington center for real estate research shall collaborate with the Washington housing finance commission and the office of financial management to develop the metrics compiled in the report. The report must be submitted, consistent with RCW 43.01.036, to the standing committees of the legislature with jurisdiction over housing issues and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If adopted by April 1, 2021, amendments to development regulations and other nonproject actions taken by a city to implement section 1 (1) or (4) of this act, with the exception of the action specified in section 1(1)(f)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transit stop that receives transit service at least four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minimum residential parking requirements may be no greater than one space per bedroom or .75 space per unit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action pertaining to residential, multifamily, or mixed use development evaluated under this chapter by a city or town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pPr>
        <w:spacing w:before="0" w:after="0" w:line="408" w:lineRule="exact"/>
        <w:ind w:left="0" w:right="0" w:firstLine="576"/>
        <w:jc w:val="left"/>
      </w:pPr>
      <w:r>
        <w:rPr/>
        <w:t xml:space="preserve">(a)(i) Consistent with a locally adopted transportation plan; or</w:t>
      </w:r>
    </w:p>
    <w:p>
      <w:pPr>
        <w:spacing w:before="0" w:after="0" w:line="408" w:lineRule="exact"/>
        <w:ind w:left="0" w:right="0" w:firstLine="576"/>
        <w:jc w:val="left"/>
      </w:pPr>
      <w:r>
        <w:rPr/>
        <w:t xml:space="preserve">(ii) Consistent with the transportation element of a comprehensive plan; and</w:t>
      </w:r>
    </w:p>
    <w:p>
      <w:pPr>
        <w:spacing w:before="0" w:after="0" w:line="408" w:lineRule="exact"/>
        <w:ind w:left="0" w:right="0" w:firstLine="576"/>
        <w:jc w:val="left"/>
      </w:pPr>
      <w:r>
        <w:rPr/>
        <w:t xml:space="preserve">(b)(i) A project for which traffic or parking impact fees are imposed pursuant to RCW 82.02.050 through 82.02.090; or</w:t>
      </w:r>
    </w:p>
    <w:p>
      <w:pPr>
        <w:spacing w:before="0" w:after="0" w:line="408" w:lineRule="exact"/>
        <w:ind w:left="0" w:right="0" w:firstLine="576"/>
        <w:jc w:val="left"/>
      </w:pPr>
      <w:r>
        <w:rPr/>
        <w:t xml:space="preserve">(ii) A project for which traffic or parking impacts are expressly mitigated by an ordinance, or ordinances, of general application adopted by the city or town.</w:t>
      </w:r>
    </w:p>
    <w:p>
      <w:pPr>
        <w:spacing w:before="0" w:after="0" w:line="408" w:lineRule="exact"/>
        <w:ind w:left="0" w:right="0" w:firstLine="576"/>
        <w:jc w:val="left"/>
      </w:pPr>
      <w:r>
        <w:rPr/>
        <w:t xml:space="preserve">(2) For purposes of this section, "impacts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w:t>
      </w:r>
      <w:r>
        <w:t>((</w:t>
      </w:r>
      <w:r>
        <w:rPr>
          <w:strike/>
        </w:rPr>
        <w:t xml:space="preserve">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strike/>
        </w:rPr>
        <w:t xml:space="preserve">(d)</w:t>
      </w:r>
      <w:r>
        <w:t>))</w:t>
      </w:r>
      <w:r>
        <w:rPr/>
        <w:t xml:space="preserve">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t>((</w:t>
      </w:r>
      <w:r>
        <w:rPr>
          <w:strike/>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strike/>
        </w:rPr>
        <w:t xml:space="preserve">(g)</w:t>
      </w:r>
      <w:r>
        <w:t>))</w:t>
      </w:r>
      <w:r>
        <w:rPr/>
        <w:t xml:space="preserve"> </w:t>
      </w:r>
      <w:r>
        <w:rPr>
          <w:u w:val="single"/>
        </w:rPr>
        <w:t xml:space="preserve">(e)</w:t>
      </w:r>
      <w:r>
        <w:rPr/>
        <w:t xml:space="preserve"> As an incentive for development authorized under this section, a city shall consider establishing a transfer of development rights program in consultation with the county where the city is located, that conserves county-designated agricultural and forestland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w:t>
      </w:r>
      <w:r>
        <w:t>((</w:t>
      </w:r>
      <w:r>
        <w:rPr>
          <w:strike/>
        </w:rPr>
        <w:t xml:space="preserve">(g)</w:t>
      </w:r>
      <w:r>
        <w:t>))</w:t>
      </w:r>
      <w:r>
        <w:rPr/>
        <w:t xml:space="preserve"> </w:t>
      </w:r>
      <w:r>
        <w:rPr>
          <w:u w:val="single"/>
        </w:rPr>
        <w:t xml:space="preserve">(e)</w:t>
      </w:r>
      <w:r>
        <w:rPr/>
        <w:t xml:space="preserve">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2029</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w:t>
      </w:r>
    </w:p>
    <w:p>
      <w:pPr>
        <w:spacing w:before="0" w:after="0" w:line="408" w:lineRule="exact"/>
        <w:ind w:left="0" w:right="0" w:firstLine="576"/>
        <w:jc w:val="left"/>
      </w:pPr>
      <w:r>
        <w:rPr>
          <w:u w:val="single"/>
        </w:rPr>
        <w:t xml:space="preserve">(i) Nineteen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the timelines established in (a) of this subsection, so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ten percent of the dwelling units, or a greater percentage as determined by city development regulations, within the development for low-income households at a sale price or rental amount that is considered affordable by a city's housing programs. This subsection (5)(b)(ii) applies only to projects that are consistent with an optional element adopted by a city pursuant to this section after the effective date of this section;</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2029</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2029</w:t>
      </w:r>
      <w:r>
        <w:rPr/>
        <w:t xml:space="preserve">. After July 1, </w:t>
      </w:r>
      <w:r>
        <w:t>((</w:t>
      </w:r>
      <w:r>
        <w:rPr>
          <w:strike/>
        </w:rPr>
        <w:t xml:space="preserve">2018</w:t>
      </w:r>
      <w:r>
        <w:t>))</w:t>
      </w:r>
      <w:r>
        <w:rPr/>
        <w:t xml:space="preserve"> </w:t>
      </w:r>
      <w:r>
        <w:rPr>
          <w:u w:val="single"/>
        </w:rPr>
        <w:t xml:space="preserve">2029</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w:t>
      </w:r>
      <w:r>
        <w:t>((</w:t>
      </w:r>
      <w:r>
        <w:rPr>
          <w:strike/>
        </w:rPr>
        <w:t xml:space="preserve">or</w:t>
      </w:r>
      <w:r>
        <w:t>))</w:t>
      </w:r>
      <w:r>
        <w:rPr/>
        <w:t xml:space="preserve"> 36.70A.500</w:t>
      </w:r>
      <w:r>
        <w:rPr>
          <w:u w:val="single"/>
        </w:rPr>
        <w:t xml:space="preserve">, section 1 of this act, for costs associated with section 3 of this act,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may not prohibit permanent supportive housing in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 A code city may not prohibit permanent supportive housing in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surcharge of two dollars and fifty cents shall be charged by the county auditor for each document recorded, which will be in addition to any other charge or surcharge allowed by law. The auditor shall remit the funds to the state treasurer to be deposited and used as follows:</w:t>
      </w:r>
    </w:p>
    <w:p>
      <w:pPr>
        <w:spacing w:before="0" w:after="0" w:line="408" w:lineRule="exact"/>
        <w:ind w:left="0" w:right="0" w:firstLine="576"/>
        <w:jc w:val="left"/>
      </w:pPr>
      <w:r>
        <w:rPr/>
        <w:t xml:space="preserve">(a) Through June 30, 2024, funds must be deposited into the growth management planning and environmental review fund created in RCW 36.70A.490 to be used first for grants for costs associated with section 1 of this act and for costs associated with section 3 of this act, and thereafter for any allowable use of the fund.</w:t>
      </w:r>
    </w:p>
    <w:p>
      <w:pPr>
        <w:spacing w:before="0" w:after="0" w:line="408" w:lineRule="exact"/>
        <w:ind w:left="0" w:right="0" w:firstLine="576"/>
        <w:jc w:val="left"/>
      </w:pPr>
      <w:r>
        <w:rPr/>
        <w:t xml:space="preserve">(b) Beginning July 1, 2024, sufficient funds must be deposited into the growth management planning and environmental review fund created in RCW 36.70A.490 for costs associated with section 3 of this act, and the remainder deposited into the home security fund account created in RCW 43.185C.060 to be used for maintenance and operation costs of: (i) Permanent supportive housing and (ii) affordable housing for very low-income and extremely low-income households. Funds may only be expended in cities that have taken action under section 1 of this act.</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or city lien or satisfaction of lien.</w:t>
      </w:r>
    </w:p>
    <w:p>
      <w:pPr>
        <w:spacing w:before="0" w:after="0" w:line="408" w:lineRule="exact"/>
        <w:ind w:left="0" w:right="0" w:firstLine="576"/>
        <w:jc w:val="left"/>
      </w:pPr>
      <w:r>
        <w:rPr/>
        <w:t xml:space="preserve">(3) For purposes of this section, the terms "permanent supportive housing," "affordable housing," "very low-income households," and "extremely low-income households" have the same meaning as provided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is necessary for the immediate preservation of the public peace, health, or safety, or support of the state government and its existing public institutions, and takes effect July 1, 2019."</w:t>
      </w:r>
    </w:p>
    <w:p>
      <w:pPr>
        <w:spacing w:before="480" w:after="0" w:line="408" w:lineRule="exact"/>
      </w:pPr>
      <w:r>
        <w:rPr>
          <w:b/>
          <w:u w:val="single"/>
        </w:rPr>
        <w:t xml:space="preserve">E2SHB 1923</w:t>
      </w:r>
      <w:r>
        <w:t xml:space="preserve"> -</w:t>
      </w:r>
      <w:r>
        <w:t xml:space="preserve"> </w:t>
        <w:t xml:space="preserve">S AMD</w:t>
      </w:r>
      <w:r>
        <w:t xml:space="preserve"> </w:t>
      </w:r>
      <w:r>
        <w:rPr>
          <w:b/>
        </w:rPr>
        <w:t xml:space="preserve">624</w:t>
      </w:r>
    </w:p>
    <w:p>
      <w:pPr>
        <w:spacing w:before="0" w:after="0" w:line="408" w:lineRule="exact"/>
        <w:ind w:left="0" w:right="0" w:firstLine="576"/>
        <w:jc w:val="left"/>
      </w:pPr>
      <w:r>
        <w:rPr/>
        <w:t xml:space="preserve">By Senator Kuderer</w:t>
      </w:r>
    </w:p>
    <w:p>
      <w:pPr>
        <w:jc w:val="right"/>
      </w:pPr>
      <w:r>
        <w:rPr>
          <w:b/>
        </w:rPr>
        <w:t xml:space="preserve">ADOPTED AS AMENDED 04/13/2019</w:t>
      </w:r>
    </w:p>
    <w:p>
      <w:pPr>
        <w:spacing w:before="0" w:after="0" w:line="408" w:lineRule="exact"/>
        <w:ind w:left="0" w:right="0" w:firstLine="576"/>
        <w:jc w:val="left"/>
      </w:pPr>
      <w:r>
        <w:rPr/>
        <w:t xml:space="preserve">On page 1, line 2 of the title, after "capacity;" strike the remainder of the title and insert "amending RCW 36.70A.030, 43.21C.420, and 36.70A.490; adding new sections to chapter 36.70A RCW; adding new sections to chapter 43.21C RCW; adding a new section to chapter 35.21 RCW; adding a new section to chapter 35A.21 RCW; adding a new section to chapter 36.22 RCW; providing an effective date; and declaring an emergency."</w:t>
      </w:r>
    </w:p>
    <w:p>
      <w:pPr>
        <w:spacing w:before="0" w:after="0" w:line="408" w:lineRule="exact"/>
        <w:ind w:left="0" w:right="0" w:firstLine="576"/>
        <w:jc w:val="left"/>
      </w:pPr>
      <w:r>
        <w:rPr>
          <w:u w:val="single"/>
        </w:rPr>
        <w:t xml:space="preserve">EFFECT:</w:t>
      </w:r>
      <w:r>
        <w:rPr/>
        <w:t xml:space="preserve"> (1) Removes the requirement for cities with a population between 20,000 and 40,000 to take at least 1 action and cities with a population over 40,000 to take at least 2 actions to increase residential building capacity by April 1, 2021.</w:t>
      </w:r>
    </w:p>
    <w:p>
      <w:pPr>
        <w:spacing w:before="0" w:after="0" w:line="408" w:lineRule="exact"/>
        <w:ind w:left="0" w:right="0" w:firstLine="576"/>
        <w:jc w:val="left"/>
      </w:pPr>
      <w:r>
        <w:rPr/>
        <w:t xml:space="preserve">(2) Encourages cities planning under the Growth Management Act to take actions to increase residential building capacity.</w:t>
      </w:r>
    </w:p>
    <w:p>
      <w:pPr>
        <w:spacing w:before="0" w:after="0" w:line="408" w:lineRule="exact"/>
        <w:ind w:left="0" w:right="0" w:firstLine="576"/>
        <w:jc w:val="left"/>
      </w:pPr>
      <w:r>
        <w:rPr/>
        <w:t xml:space="preserve">(3) Removes the option for cities to require more than one on-site parking space per two bedrooms in certain multifamily zones near fixed guideway transit stations to comply with requirements to increase residential building capacity.</w:t>
      </w:r>
    </w:p>
    <w:p>
      <w:pPr>
        <w:spacing w:before="0" w:after="0" w:line="408" w:lineRule="exact"/>
        <w:ind w:left="0" w:right="0" w:firstLine="576"/>
        <w:jc w:val="left"/>
      </w:pPr>
      <w:r>
        <w:rPr/>
        <w:t xml:space="preserve">(4) Removes the option for cities to form or join existing subregional partnerships to promote affordable housing to comply with requirements to increase residential building capacity.</w:t>
      </w:r>
    </w:p>
    <w:p>
      <w:pPr>
        <w:spacing w:before="0" w:after="0" w:line="408" w:lineRule="exact"/>
        <w:ind w:left="0" w:right="0" w:firstLine="576"/>
        <w:jc w:val="left"/>
      </w:pPr>
      <w:r>
        <w:rPr/>
        <w:t xml:space="preserve">(5) Removes the option for cities to authorize at least a 20 percent density bonus when at least 10 percent of the units are provided for affordable housing to comply with requirements to increase residential building capacity.</w:t>
      </w:r>
    </w:p>
    <w:p>
      <w:pPr>
        <w:spacing w:before="0" w:after="0" w:line="408" w:lineRule="exact"/>
        <w:ind w:left="0" w:right="0" w:firstLine="576"/>
        <w:jc w:val="left"/>
      </w:pPr>
      <w:r>
        <w:rPr/>
        <w:t xml:space="preserve">(6) Removes the requirement that if a city only chooses 2 actions it may not select options to increase density near rail and bus only, unless those options are in different geographic areas.</w:t>
      </w:r>
    </w:p>
    <w:p>
      <w:pPr>
        <w:spacing w:before="0" w:after="0" w:line="408" w:lineRule="exact"/>
        <w:ind w:left="0" w:right="0" w:firstLine="576"/>
        <w:jc w:val="left"/>
      </w:pPr>
      <w:r>
        <w:rPr/>
        <w:t xml:space="preserve">(7) Exempts specific ordinances, amendments to develop regulations, and other nonproject actions taken by a city prior to April 1, 2021, to increase residential building capacity from appeal under SEPA or legal challenge under the Growth Management Act.</w:t>
      </w:r>
    </w:p>
    <w:p>
      <w:pPr>
        <w:spacing w:before="0" w:after="0" w:line="408" w:lineRule="exact"/>
        <w:ind w:left="0" w:right="0" w:firstLine="576"/>
        <w:jc w:val="left"/>
      </w:pPr>
      <w:r>
        <w:rPr/>
        <w:t xml:space="preserve">(8) Removes the exemption for actions a county may take to increase residential building capacity from appeals under SEPA.</w:t>
      </w:r>
    </w:p>
    <w:p>
      <w:pPr>
        <w:spacing w:before="0" w:after="0" w:line="408" w:lineRule="exact"/>
        <w:ind w:left="0" w:right="0" w:firstLine="576"/>
        <w:jc w:val="left"/>
      </w:pPr>
      <w:r>
        <w:rPr/>
        <w:t xml:space="preserve">(9) Directs the Department of Commerce to develop criteria to ensure grant funds are awarded proportionate to a city's effort and potential to increase housing supply.</w:t>
      </w:r>
    </w:p>
    <w:p>
      <w:pPr>
        <w:spacing w:before="0" w:after="0" w:line="408" w:lineRule="exact"/>
        <w:ind w:left="0" w:right="0" w:firstLine="576"/>
        <w:jc w:val="left"/>
      </w:pPr>
      <w:r>
        <w:rPr/>
        <w:t xml:space="preserve">(10) Authorizes the Department of Commerce to award grants in excess of $100,000 for applications with extraordinary potential to increase housing supply or regulatory streamlining.</w:t>
      </w:r>
    </w:p>
    <w:p>
      <w:pPr>
        <w:spacing w:before="0" w:after="0" w:line="408" w:lineRule="exact"/>
        <w:ind w:left="0" w:right="0" w:firstLine="576"/>
        <w:jc w:val="left"/>
      </w:pPr>
      <w:r>
        <w:rPr/>
        <w:t xml:space="preserve">(11) Clarifies a city may receive grant funds for developing a housing action plan.</w:t>
      </w:r>
    </w:p>
    <w:p>
      <w:pPr>
        <w:spacing w:before="0" w:after="0" w:line="408" w:lineRule="exact"/>
        <w:ind w:left="0" w:right="0" w:firstLine="576"/>
        <w:jc w:val="left"/>
      </w:pPr>
      <w:r>
        <w:rPr/>
        <w:t xml:space="preserve">(12) Adds that the initial Washington Center for Real Estate Research report must be completed by October 15, 2020, and must include the percentage of cost-burdened households and data relating to actions cities have taken to increase residential building capacity.</w:t>
      </w:r>
    </w:p>
    <w:p>
      <w:pPr>
        <w:spacing w:before="0" w:after="0" w:line="408" w:lineRule="exact"/>
        <w:ind w:left="0" w:right="0" w:firstLine="576"/>
        <w:jc w:val="left"/>
      </w:pPr>
      <w:r>
        <w:rPr/>
        <w:t xml:space="preserve">(13) Modifies the minimum residential parking requirements for certain low-income, senior, and disabled households from two to one space per bedroom or three-quarters space per unit.</w:t>
      </w:r>
    </w:p>
    <w:p>
      <w:pPr>
        <w:spacing w:before="0" w:after="0" w:line="408" w:lineRule="exact"/>
        <w:ind w:left="0" w:right="0" w:firstLine="576"/>
        <w:jc w:val="left"/>
      </w:pPr>
      <w:r>
        <w:rPr/>
        <w:t xml:space="preserve">(14) Removes the restriction that a local ordinance may not charge a higher per unit impact fee for multifamily than for single-family residential construction.</w:t>
      </w:r>
    </w:p>
    <w:p>
      <w:pPr>
        <w:spacing w:before="0" w:after="0" w:line="408" w:lineRule="exact"/>
        <w:ind w:left="0" w:right="0" w:firstLine="576"/>
        <w:jc w:val="left"/>
      </w:pPr>
      <w:r>
        <w:rPr/>
        <w:t xml:space="preserve">(15) Removes the restriction that a local ordinance may not impose more than $50,000 for an impact fee.</w:t>
      </w:r>
    </w:p>
    <w:p>
      <w:pPr>
        <w:spacing w:before="0" w:after="0" w:line="408" w:lineRule="exact"/>
        <w:ind w:left="0" w:right="0" w:firstLine="576"/>
        <w:jc w:val="left"/>
      </w:pPr>
      <w:r>
        <w:rPr/>
        <w:t xml:space="preserve">(16) Specifies that of the amounts received from the $2.50 surcharge, sufficient funding must be provided for the Washington Center for Real Estate Research study.</w:t>
      </w:r>
    </w:p>
    <w:p>
      <w:pPr>
        <w:spacing w:before="0" w:after="0" w:line="408" w:lineRule="exact"/>
        <w:ind w:left="0" w:right="0" w:firstLine="576"/>
        <w:jc w:val="left"/>
      </w:pPr>
      <w:r>
        <w:rPr/>
        <w:t xml:space="preserve">(17) Removes a null and void clause requiring specific funding for costs to increase residential building capacity identified in section 1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cd5bc37184f37" /></Relationships>
</file>