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2b5e59b9c4a40" /></Relationships>
</file>

<file path=word/document.xml><?xml version="1.0" encoding="utf-8"?>
<w:document xmlns:w="http://schemas.openxmlformats.org/wordprocessingml/2006/main">
  <w:body>
    <w:p>
      <w:r>
        <w:rPr>
          <w:b/>
        </w:rPr>
        <w:r>
          <w:rPr/>
          <w:t xml:space="preserve">1923-S2.E</w:t>
        </w:r>
      </w:r>
      <w:r>
        <w:rPr>
          <w:b/>
        </w:rPr>
        <w:t xml:space="preserve"> </w:t>
        <w:t xml:space="preserve">AMS</w:t>
      </w:r>
      <w:r>
        <w:rPr>
          <w:b/>
        </w:rPr>
        <w:t xml:space="preserve"> </w:t>
        <w:r>
          <w:rPr/>
          <w:t xml:space="preserve">PALU</w:t>
        </w:r>
      </w:r>
      <w:r>
        <w:rPr>
          <w:b/>
        </w:rPr>
        <w:t xml:space="preserve"> </w:t>
        <w:r>
          <w:rPr/>
          <w:t xml:space="preserve">S4355.1</w:t>
        </w:r>
      </w:r>
      <w:r>
        <w:rPr>
          <w:b/>
        </w:rPr>
        <w:t xml:space="preserve"> - NOT FOR FLOOR USE</w:t>
      </w:r>
    </w:p>
    <w:p>
      <w:pPr>
        <w:ind w:left="0" w:right="0" w:firstLine="576"/>
      </w:pPr>
    </w:p>
    <w:p>
      <w:pPr>
        <w:spacing w:before="480" w:after="0" w:line="408" w:lineRule="exact"/>
      </w:pPr>
      <w:r>
        <w:rPr>
          <w:b/>
          <w:u w:val="single"/>
        </w:rPr>
        <w:t xml:space="preserve">E2SHB 1923</w:t>
      </w:r>
      <w:r>
        <w:t xml:space="preserve"> -</w:t>
      </w:r>
      <w:r>
        <w:t xml:space="preserve"> </w:t>
        <w:t xml:space="preserve">S AMD</w:t>
      </w:r>
      <w:r>
        <w:t xml:space="preserve"> </w:t>
      </w:r>
      <w:r>
        <w:rPr>
          <w:b/>
        </w:rPr>
        <w:t xml:space="preserve">765</w:t>
      </w:r>
    </w:p>
    <w:p>
      <w:pPr>
        <w:spacing w:before="0" w:after="0" w:line="408" w:lineRule="exact"/>
        <w:ind w:left="0" w:right="0" w:firstLine="576"/>
        <w:jc w:val="left"/>
      </w:pPr>
      <w:r>
        <w:rPr/>
        <w:t xml:space="preserve">By Senator Palumbo</w:t>
      </w:r>
    </w:p>
    <w:p>
      <w:pPr>
        <w:jc w:val="right"/>
      </w:pPr>
      <w:r>
        <w:rPr>
          <w:b/>
        </w:rPr>
        <w:t xml:space="preserve">ADOPTED 04/22/2019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five hundred acres in cities with a population greater than forty thousand or not fewer than two hundred fifty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and</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section 3 of this act.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2021,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2021,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with a population over twenty thousand that is planning to take at least two actions under subsection (1) of this section, and that action will occur between the effective date of this section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this act,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u w:val="single"/>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u w:val="single"/>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p>
    <w:p>
      <w:pPr>
        <w:spacing w:before="0" w:after="0" w:line="408" w:lineRule="exact"/>
        <w:ind w:left="0" w:right="0" w:firstLine="576"/>
        <w:jc w:val="left"/>
      </w:pPr>
      <w:r>
        <w:rPr>
          <w:u w:val="single"/>
        </w:rPr>
        <w:t xml:space="preserve">(28)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Washington center for real estate research at the University of Washington shall produce a report every two years that compiles housing supply and affordability metrics for each city planning under RCW 36.70A.040 with a population of ten thousand or more. The initial report, completed by October 15, 2020, must be a compilation of objective criteria relating to development regulations, zoning, income, housing and rental prices, housing affordability programs, and other metrics relevant to assessing housing supply and affordability for all income segments, including the percentage of cost-burdened households, of each city subject to the report required by this section. The report completed by October 15, 2022, must also include data relating to actions taken by cities under this act. The report completed by October 15, 2024, must also include relevant data relating to buildable lands reports prepared under RCW 36.70A.215, where applicable, and updates to comprehensive plans under this chapter. The Washington center for real estate research shall collaborate with the Washington housing finance commission and the office of financial management to develop the metrics compiled in the report. The report must be submitted, consistent with RCW 43.01.036, to the standing committees of the legislature with jurisdiction over housing issues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If adopted by April 1, 2021, amendments to development regulations and other nonproject actions taken by a city to implement section 1 (1) or (4) of this act, with the exception of the action specified in section 1(1)(f)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four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pertaining to residential, multifamily, or mixed 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w:t>
      </w:r>
      <w:r>
        <w:t>((</w:t>
      </w:r>
      <w:r>
        <w:rPr>
          <w:strike/>
        </w:rPr>
        <w:t xml:space="preserve">or</w:t>
      </w:r>
      <w:r>
        <w:t>))</w:t>
      </w:r>
      <w:r>
        <w:rPr/>
        <w:t xml:space="preserve"> 36.70A.500</w:t>
      </w:r>
      <w:r>
        <w:rPr>
          <w:u w:val="single"/>
        </w:rPr>
        <w:t xml:space="preserve">, section 1 of this act, for costs associated with section 3 of this act,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 A code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section 1 of this act and for costs associated with section 3 of this act,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section 3 of this act,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section 1 of this act.</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E2SHB 1923</w:t>
      </w:r>
      <w:r>
        <w:t xml:space="preserve"> -</w:t>
      </w:r>
      <w:r>
        <w:t xml:space="preserve"> </w:t>
        <w:t xml:space="preserve">S AMD</w:t>
      </w:r>
      <w:r>
        <w:t xml:space="preserve"> </w:t>
      </w:r>
      <w:r>
        <w:rPr>
          <w:b/>
        </w:rPr>
        <w:t xml:space="preserve">765</w:t>
      </w:r>
    </w:p>
    <w:p>
      <w:pPr>
        <w:spacing w:before="0" w:after="0" w:line="408" w:lineRule="exact"/>
        <w:ind w:left="0" w:right="0" w:firstLine="576"/>
        <w:jc w:val="left"/>
      </w:pPr>
      <w:r>
        <w:rPr/>
        <w:t xml:space="preserve">By Senator Palumbo</w:t>
      </w:r>
    </w:p>
    <w:p>
      <w:pPr>
        <w:jc w:val="right"/>
      </w:pPr>
      <w:r>
        <w:rPr>
          <w:b/>
        </w:rPr>
        <w:t xml:space="preserve">ADOPTED 04/22/2019</w:t>
      </w:r>
    </w:p>
    <w:p>
      <w:pPr>
        <w:spacing w:before="0" w:after="0" w:line="408" w:lineRule="exact"/>
        <w:ind w:left="0" w:right="0" w:firstLine="576"/>
        <w:jc w:val="left"/>
      </w:pPr>
      <w:r>
        <w:rPr/>
        <w:t xml:space="preserve">On page 1, line 2 of the title, after "capacity;" strike the remainder of the title and insert "amending RCW 36.70A.030, 43.21C.420, and 36.70A.490; adding new sections to chapter 36.70A RCW; adding new sections to chapter 43.21C RCW; adding a new section to chapter 35.21 RCW; adding a new section to chapter 35A.21 RCW; adding a new section to chapter 36.22 RCW; providing an effective date; and declaring an emergency."</w:t>
      </w:r>
    </w:p>
    <w:p>
      <w:pPr>
        <w:spacing w:before="0" w:after="0" w:line="408" w:lineRule="exact"/>
        <w:ind w:left="0" w:right="0" w:firstLine="576"/>
        <w:jc w:val="left"/>
      </w:pPr>
      <w:r>
        <w:rPr>
          <w:u w:val="single"/>
        </w:rPr>
        <w:t xml:space="preserve">EFFECT:</w:t>
      </w:r>
      <w:r>
        <w:rPr/>
        <w:t xml:space="preserve"> Adds that adopting or amending ordinances or development regulations to increase residential building capacity under the act are not subject to legal challenges under the Growth Management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435f90e58497f" /></Relationships>
</file>