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1e84744304d80" /></Relationships>
</file>

<file path=word/document.xml><?xml version="1.0" encoding="utf-8"?>
<w:document xmlns:w="http://schemas.openxmlformats.org/wordprocessingml/2006/main">
  <w:body>
    <w:p>
      <w:r>
        <w:rPr>
          <w:b/>
        </w:rPr>
        <w:r>
          <w:rPr/>
          <w:t xml:space="preserve">2099-S.E</w:t>
        </w:r>
      </w:r>
      <w:r>
        <w:rPr>
          <w:b/>
        </w:rPr>
        <w:t xml:space="preserve"> </w:t>
        <w:t xml:space="preserve">AMS</w:t>
      </w:r>
      <w:r>
        <w:rPr>
          <w:b/>
        </w:rPr>
        <w:t xml:space="preserve"> </w:t>
        <w:r>
          <w:rPr/>
          <w:t xml:space="preserve">BH</w:t>
        </w:r>
      </w:r>
      <w:r>
        <w:rPr>
          <w:b/>
        </w:rPr>
        <w:t xml:space="preserve"> </w:t>
        <w:r>
          <w:rPr/>
          <w:t xml:space="preserve">S6931.2</w:t>
        </w:r>
      </w:r>
      <w:r>
        <w:rPr>
          <w:b/>
        </w:rPr>
        <w:t xml:space="preserve"> - NOT FOR FLOOR USE</w:t>
      </w:r>
    </w:p>
    <w:p>
      <w:pPr>
        <w:ind w:left="0" w:right="0" w:firstLine="576"/>
      </w:pPr>
      <w:r>
        <w:rPr/>
        <w:t xml:space="preserve"> </w:t>
      </w:r>
    </w:p>
    <w:p>
      <w:pPr>
        <w:spacing w:before="480" w:after="0" w:line="408" w:lineRule="exact"/>
      </w:pPr>
      <w:r>
        <w:rPr>
          <w:b/>
          <w:u w:val="single"/>
        </w:rPr>
        <w:t xml:space="preserve">ESHB 2099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w:t>
      </w:r>
      <w:r>
        <w:rPr>
          <w:u w:val="single"/>
        </w:rPr>
        <w:t xml:space="preserve">"Video,"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(59)</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Pr>
        <w:spacing w:before="480" w:after="0" w:line="408" w:lineRule="exact"/>
      </w:pPr>
      <w:r>
        <w:rPr>
          <w:b/>
          <w:u w:val="single"/>
        </w:rPr>
        <w:t xml:space="preserve">ESHB 2099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03/05/2020</w:t>
      </w:r>
    </w:p>
    <w:p>
      <w:pPr>
        <w:spacing w:before="0" w:after="0" w:line="408" w:lineRule="exact"/>
        <w:ind w:left="0" w:right="0" w:firstLine="576"/>
        <w:jc w:val="left"/>
      </w:pPr>
      <w:r>
        <w:rPr/>
        <w:t xml:space="preserve">On page 1, line 2 of the title, after "act;" strike the remainder of the title and insert "amending RCW 71.05.150, 71.05.150, 71.05.153, and 71.05.153; reenacting and amending RCW 71.05.020; providing an effective date; and providing an expiration date."</w:t>
      </w:r>
    </w:p>
    <w:p>
      <w:pPr>
        <w:spacing w:before="0" w:after="0" w:line="408" w:lineRule="exact"/>
        <w:ind w:left="0" w:right="0" w:firstLine="576"/>
        <w:jc w:val="left"/>
      </w:pPr>
      <w:r>
        <w:rPr>
          <w:u w:val="single"/>
        </w:rPr>
        <w:t xml:space="preserve">EFFECT:</w:t>
      </w:r>
      <w:r>
        <w:rPr/>
        <w:t xml:space="preserve"> Clarifies the definition of video and the requirements for a designated crisis responder evaluation by video to consistently require a licensed health care professional or professional person to be present with the person during the evaluation. Removes sections duplicative of policy changes enacted in SSB 6124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610f8c2994620" /></Relationships>
</file>