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7774a66694e6d"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HOLY</w:t>
        </w:r>
      </w:r>
      <w:r>
        <w:rPr>
          <w:b/>
        </w:rPr>
        <w:t xml:space="preserve"> </w:t>
        <w:r>
          <w:rPr/>
          <w:t xml:space="preserve">S4607.1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836</w:t>
      </w:r>
    </w:p>
    <w:p>
      <w:pPr>
        <w:spacing w:before="0" w:after="0" w:line="408" w:lineRule="exact"/>
        <w:ind w:left="0" w:right="0" w:firstLine="576"/>
        <w:jc w:val="left"/>
      </w:pPr>
      <w:r>
        <w:rPr/>
        <w:t xml:space="preserve">By Senator Holy</w:t>
      </w:r>
    </w:p>
    <w:p>
      <w:pPr>
        <w:jc w:val="right"/>
      </w:pPr>
      <w:r>
        <w:rPr>
          <w:b/>
        </w:rPr>
        <w:t xml:space="preserve">NOT ADOPTED 04/28/2019</w:t>
      </w:r>
    </w:p>
    <w:p>
      <w:pPr>
        <w:spacing w:before="0" w:after="0" w:line="408" w:lineRule="exact"/>
        <w:ind w:left="0" w:right="0" w:firstLine="576"/>
        <w:jc w:val="left"/>
      </w:pPr>
      <w:r>
        <w:rPr/>
        <w:t xml:space="preserve">On page 3, line 1, after "account." strike all material through "appropriation."</w:t>
      </w:r>
    </w:p>
    <w:p>
      <w:pPr>
        <w:spacing w:before="0" w:after="0" w:line="408" w:lineRule="exact"/>
        <w:ind w:left="0" w:right="0" w:firstLine="576"/>
        <w:jc w:val="left"/>
      </w:pPr>
      <w:r>
        <w:rPr/>
        <w:t xml:space="preserve">Beginning on page 3, line 11, strike all of sections 3 through 80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this act to be applied broadly in favor of application of the surcharges. To achieve this intent, any provision within this act that is deemed to be ambiguous by a court of competent jurisdiction, the board of tax appeals, or any other judicial or administrative body, should be construed in favor of application of the surcharges.</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section 2 of this act.</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w:t>
      </w:r>
    </w:p>
    <w:p>
      <w:pPr>
        <w:spacing w:before="0" w:after="0" w:line="408" w:lineRule="exact"/>
        <w:ind w:left="0" w:right="0" w:firstLine="576"/>
        <w:jc w:val="left"/>
      </w:pPr>
      <w:r>
        <w:rPr/>
        <w:t xml:space="preserve">(8) Revenue from the workforce education investment surcharges shall be transferred to the workforce education investment account established in section 2 of this act. With the funds provided by the transfer to the workforce education investment account, the office of financial management shall allocate to the state board for community and technical colleges and to each of the four-year institutions of higher education an amount that is equal to the net revenue loss from resident undergraduate tuition operating fees based on state-supported full-time equivalent enrollment received for the 2017-2019 fiscal biennium under RCW 28B.15.067. The net revenue loss shall be adjusted for inflation in subsequent biennia.</w:t>
      </w:r>
    </w:p>
    <w:p>
      <w:pPr>
        <w:spacing w:before="0" w:after="0" w:line="408" w:lineRule="exact"/>
        <w:ind w:left="0" w:right="0" w:firstLine="576"/>
        <w:jc w:val="left"/>
      </w:pPr>
      <w:r>
        <w:rPr/>
        <w:t xml:space="preserve">(9)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Beginning in the 2019-20 academic year, tuition operating fees for resident undergraduates at community and technical colleges shall be twenty-five percent less than the 2018-19 academic year tuition operating fees.</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2020-21</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2019-20 academic year, full-time tuition operating fees for resident undergraduates for state universities, regional universities, and The Evergreen State College shall be twenty-five percent less than the 2018-19 academic year tuition operating fee.</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2020-21</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836</w:t>
      </w:r>
    </w:p>
    <w:p>
      <w:pPr>
        <w:spacing w:before="0" w:after="0" w:line="408" w:lineRule="exact"/>
        <w:ind w:left="0" w:right="0" w:firstLine="576"/>
        <w:jc w:val="left"/>
      </w:pPr>
      <w:r>
        <w:rPr/>
        <w:t xml:space="preserve">By Senator Holy</w:t>
      </w:r>
    </w:p>
    <w:p>
      <w:pPr>
        <w:jc w:val="right"/>
      </w:pPr>
      <w:r>
        <w:rPr>
          <w:b/>
        </w:rPr>
        <w:t xml:space="preserve">NOT ADOPTED 04/28/2019</w:t>
      </w:r>
    </w:p>
    <w:p>
      <w:pPr>
        <w:spacing w:before="0" w:after="0" w:line="408" w:lineRule="exact"/>
        <w:ind w:left="0" w:right="0" w:firstLine="576"/>
        <w:jc w:val="left"/>
      </w:pPr>
      <w:r>
        <w:rPr/>
        <w:t xml:space="preserve">On page 1, beginning on line 2 of the title, after "jobs;" strike all material through "dates" on line 21 and insert "amending RCW 28B.15.067; adding a new section to chapter 43.79 RCW; adding a new section to chapter 82.04 RCW; and creating a new section"</w:t>
      </w:r>
    </w:p>
    <w:p>
      <w:pPr>
        <w:spacing w:before="0" w:after="0" w:line="408" w:lineRule="exact"/>
        <w:ind w:left="0" w:right="0" w:firstLine="576"/>
        <w:jc w:val="left"/>
      </w:pPr>
      <w:r>
        <w:rPr>
          <w:u w:val="single"/>
        </w:rPr>
        <w:t xml:space="preserve">EFFECT:</w:t>
      </w:r>
      <w:r>
        <w:rPr/>
        <w:t xml:space="preserve"> Strikes all appropriations and policy changes in the workforce education investment act. Requires OFM to appropriate business and occupation tax revenue from the workforce education investment account to the institutions of higher education in an amount at least equal to a twenty-five percent reduction in resident undergraduate operating fees. In 2019-20, institutions of higher education are required to reduce resident undergraduate tuition operating fees by 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3f28443e83439f" /></Relationships>
</file>