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ed72c299a404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S4646.1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84, beginning on line 1, strike all material through "surcharges." on line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94, beginning on line 34, strike all of subsection (7)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directing broad interpretation of application of the surcharge. Removes the Department of Revenue's authority to determine whether a business is subject to the surcharge via audit or other investigation, and the presumption that a determination that the surcharge applies is presumed to be correct absent clear evidence to the contrary.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e0b0866fa45d7" /></Relationships>
</file>