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b2475ccd44484"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RIVE</w:t>
        </w:r>
      </w:r>
      <w:r>
        <w:rPr>
          <w:b/>
        </w:rPr>
        <w:t xml:space="preserve"> </w:t>
        <w:r>
          <w:rPr/>
          <w:t xml:space="preserve">S4688.1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886</w:t>
      </w:r>
    </w:p>
    <w:p>
      <w:pPr>
        <w:spacing w:before="0" w:after="0" w:line="408" w:lineRule="exact"/>
        <w:ind w:left="0" w:right="0" w:firstLine="576"/>
        <w:jc w:val="left"/>
      </w:pPr>
      <w:r>
        <w:rPr/>
        <w:t xml:space="preserve">By Senator Rivers</w:t>
      </w:r>
    </w:p>
    <w:p>
      <w:pPr>
        <w:jc w:val="right"/>
      </w:pPr>
      <w:r>
        <w:rPr>
          <w:b/>
        </w:rPr>
        <w:t xml:space="preserve">NOT ADOPTED 04/28/2019</w:t>
      </w:r>
    </w:p>
    <w:p>
      <w:pPr>
        <w:spacing w:before="0" w:after="0" w:line="408" w:lineRule="exact"/>
        <w:ind w:left="0" w:right="0" w:firstLine="576"/>
        <w:jc w:val="left"/>
      </w:pPr>
      <w:r>
        <w:rPr/>
        <w:t xml:space="preserve">On page 84, on line 10, after "equal to" strike all material through "percent" on line 13 and insert "the gross income of the business subject to tax under RCW 82.04.290(2) multiplied by the rate of 0.3 percent"</w:t>
      </w:r>
    </w:p>
    <w:p>
      <w:pPr>
        <w:spacing w:before="0" w:after="0" w:line="408" w:lineRule="exact"/>
        <w:ind w:left="0" w:right="0" w:firstLine="576"/>
        <w:jc w:val="left"/>
      </w:pPr>
      <w:r>
        <w:rPr>
          <w:u w:val="single"/>
        </w:rPr>
        <w:t xml:space="preserve">EFFECT:</w:t>
      </w:r>
      <w:r>
        <w:rPr/>
        <w:t xml:space="preserve"> Modifies the computation of the surcharge to prevent increases to the surcharge if the general service rate of 1.5 percent is increased.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5cf6c9066f4b11" /></Relationships>
</file>