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6785c561b401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2158-S2.E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S4666.1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2158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852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86, beginning on line 38, strike all of subsection (2)(l)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persons engaged in providing infrastructure for hosting or data processing services from the category of specified persons subject to the workforce education investment surcharge.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7cef43a4e4496" /></Relationships>
</file>