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d52503730499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2623.E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S7533.1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2623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1351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18, strike all material through "</w:t>
      </w:r>
      <w:r>
        <w:rPr>
          <w:u w:val="single"/>
        </w:rPr>
        <w:t xml:space="preserve">16.52.207)</w:t>
      </w:r>
      <w:r>
        <w:rPr/>
        <w:t xml:space="preserve">" on line 20 and insert "</w:t>
      </w:r>
      <w:r>
        <w:rPr>
          <w:u w:val="single"/>
        </w:rPr>
        <w:t xml:space="preserve">crime, committed on or after the effective date of this section: Unlawful aiming or discharge of a firearm or dangerous weapon (RCW 9.41.230)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animal cruelty in the second degree as an underlying crime for unlawful possession of a firearm.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79b730e6847c2" /></Relationships>
</file>