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df7385004e48f0" /></Relationships>
</file>

<file path=word/document.xml><?xml version="1.0" encoding="utf-8"?>
<w:document xmlns:w="http://schemas.openxmlformats.org/wordprocessingml/2006/main">
  <w:body>
    <w:p>
      <w:r>
        <w:rPr>
          <w:b/>
        </w:rPr>
        <w:r>
          <w:rPr/>
          <w:t xml:space="preserve">2640</w:t>
        </w:r>
      </w:r>
      <w:r>
        <w:rPr>
          <w:b/>
        </w:rPr>
        <w:t xml:space="preserve"> </w:t>
        <w:t xml:space="preserve">AMS</w:t>
      </w:r>
      <w:r>
        <w:rPr>
          <w:b/>
        </w:rPr>
        <w:t xml:space="preserve"> </w:t>
        <w:r>
          <w:rPr/>
          <w:t xml:space="preserve">LGOV</w:t>
        </w:r>
      </w:r>
      <w:r>
        <w:rPr>
          <w:b/>
        </w:rPr>
        <w:t xml:space="preserve"> </w:t>
        <w:r>
          <w:rPr/>
          <w:t xml:space="preserve">S6870.1</w:t>
        </w:r>
      </w:r>
      <w:r>
        <w:rPr>
          <w:b/>
        </w:rPr>
        <w:t xml:space="preserve"> - NOT FOR FLOOR USE</w:t>
      </w:r>
    </w:p>
    <w:p>
      <w:pPr>
        <w:ind w:left="0" w:right="0" w:firstLine="576"/>
      </w:pPr>
    </w:p>
    <w:p>
      <w:pPr>
        <w:spacing w:before="480" w:after="0" w:line="408" w:lineRule="exact"/>
      </w:pPr>
      <w:r>
        <w:rPr>
          <w:b/>
          <w:u w:val="single"/>
        </w:rPr>
        <w:t xml:space="preserve">HB 2640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03/04/2020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2013 c 275 s 5 are each amended to read as follows:</w:t>
      </w:r>
    </w:p>
    <w:p>
      <w:pPr>
        <w:spacing w:before="0" w:after="0" w:line="408" w:lineRule="exact"/>
        <w:ind w:left="0" w:right="0" w:firstLine="576"/>
        <w:jc w:val="left"/>
      </w:pPr>
      <w:r>
        <w:rPr/>
        <w:t xml:space="preserve">(1)</w:t>
      </w:r>
      <w:r>
        <w:rPr>
          <w:u w:val="single"/>
        </w:rPr>
        <w:t xml:space="preserve">(a)</w:t>
      </w:r>
      <w:r>
        <w:rPr/>
        <w:t xml:space="preserve">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and inpatient facilities including substance abuse facilities, mental health facilities, group homes, and secure community transition facilities as defined in RCW 71.09.020.</w:t>
      </w:r>
    </w:p>
    <w:p>
      <w:pPr>
        <w:spacing w:before="0" w:after="0" w:line="408" w:lineRule="exact"/>
        <w:ind w:left="0" w:right="0" w:firstLine="576"/>
        <w:jc w:val="left"/>
      </w:pPr>
      <w:r>
        <w:rPr>
          <w:u w:val="single"/>
        </w:rPr>
        <w:t xml:space="preserve">(b) Unless a facility is expressly listed in (a) of this subsection, essential public facilities do not include facilities that are operated by a private entity in which persons are detained in custody under process of law pending the outcome of legal proceedings but are not used for punishment, correction, counseling, or rehabilitation following the conviction of a criminal offense. Facilities included under this subsection (1)(b) shall not include facilities detaining persons under RCW 71.09.020 (6) or (15) or chapter 10.77 or 71.05 RCW.</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70.146.070;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land use actions imposed prior to January 1, 2018, as well as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HB 2640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03/04/2020</w:t>
      </w:r>
    </w:p>
    <w:p>
      <w:pPr>
        <w:spacing w:before="0" w:after="0" w:line="408" w:lineRule="exact"/>
        <w:ind w:left="0" w:right="0" w:firstLine="576"/>
        <w:jc w:val="left"/>
      </w:pPr>
      <w:r>
        <w:rPr/>
        <w:t xml:space="preserve">On page 1, line 4 of the title, after "act;" strike the remainder of the title and insert "amending RCW 36.70A.200; creating a new section; and declaring an emergency."</w:t>
      </w:r>
    </w:p>
    <w:p>
      <w:pPr>
        <w:spacing w:before="0" w:after="0" w:line="408" w:lineRule="exact"/>
        <w:ind w:left="0" w:right="0" w:firstLine="576"/>
        <w:jc w:val="left"/>
      </w:pPr>
      <w:r>
        <w:rPr>
          <w:u w:val="single"/>
        </w:rPr>
        <w:t xml:space="preserve">EFFECT:</w:t>
      </w:r>
      <w:r>
        <w:rPr/>
        <w:t xml:space="preserve"> Specifies that unless a facility is expressly listed, essential public facilities do not include facilities that are operated by a private entity in which persons are detained in custody under process of law pending the outcome of legal proceedings but are not used for punishment, correction, counseling, or rehabilitation following the conviction of a criminal offense. Provides that this exclusion does not include facilities detaining persons in a secure community transition facility, in a less restrictive alternative that satisfies the requirements of a conditional release, persons detained as criminally insane, or persons detained with mental illness.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92663305e74ad3" /></Relationships>
</file>