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af1fd147ce4c6f" /></Relationships>
</file>

<file path=word/document.xml><?xml version="1.0" encoding="utf-8"?>
<w:document xmlns:w="http://schemas.openxmlformats.org/wordprocessingml/2006/main">
  <w:body>
    <w:p>
      <w:r>
        <w:rPr>
          <w:b/>
        </w:rPr>
        <w:r>
          <w:rPr/>
          <w:t xml:space="preserve">2714-S</w:t>
        </w:r>
      </w:r>
      <w:r>
        <w:rPr>
          <w:b/>
        </w:rPr>
        <w:t xml:space="preserve"> </w:t>
        <w:t xml:space="preserve">AMS</w:t>
      </w:r>
      <w:r>
        <w:rPr>
          <w:b/>
        </w:rPr>
        <w:t xml:space="preserve"> </w:t>
        <w:r>
          <w:rPr/>
          <w:t xml:space="preserve">AWNP</w:t>
        </w:r>
      </w:r>
      <w:r>
        <w:rPr>
          <w:b/>
        </w:rPr>
        <w:t xml:space="preserve"> </w:t>
        <w:r>
          <w:rPr/>
          <w:t xml:space="preserve">S6974.3</w:t>
        </w:r>
      </w:r>
      <w:r>
        <w:rPr>
          <w:b/>
        </w:rPr>
        <w:t xml:space="preserve"> - NOT FOR FLOOR USE</w:t>
      </w:r>
    </w:p>
    <w:p>
      <w:pPr>
        <w:ind w:left="0" w:right="0" w:firstLine="576"/>
      </w:pPr>
    </w:p>
    <w:p>
      <w:pPr>
        <w:spacing w:before="480" w:after="0" w:line="408" w:lineRule="exact"/>
      </w:pPr>
      <w:r>
        <w:rPr>
          <w:b/>
          <w:u w:val="single"/>
        </w:rPr>
        <w:t xml:space="preserve">SHB 2714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working forestland can be part of a climate strategy. The food and agricultural organization of the United Nations issued a report in 2016 entitled "forestry for a low-carbon future" with specific recommendations for integrating forests and wood products in climate change strategies.</w:t>
      </w:r>
    </w:p>
    <w:p>
      <w:pPr>
        <w:spacing w:before="0" w:after="0" w:line="408" w:lineRule="exact"/>
        <w:ind w:left="0" w:right="0" w:firstLine="576"/>
        <w:jc w:val="left"/>
      </w:pPr>
      <w:r>
        <w:rPr/>
        <w:t xml:space="preserve">(2) The intergovernmental panel on climate change, or IPCC, released a report in 2019 entitled "IPCC special report on climate change, desertification, land degradation, sustainable land management, food security, and greenhouse gas fluxes in terrestrial ecosystems." This report identifies several measures where sustainable forest management and forest products can be utilized to maintain and enhance carbon sequestration, including afforestation and reforestation, to increase the carbon sequestration potential of trees by maintaining the forestland base.</w:t>
      </w:r>
    </w:p>
    <w:p>
      <w:pPr>
        <w:spacing w:before="0" w:after="0" w:line="408" w:lineRule="exact"/>
        <w:ind w:left="0" w:right="0" w:firstLine="576"/>
        <w:jc w:val="left"/>
      </w:pPr>
      <w:r>
        <w:rPr/>
        <w:t xml:space="preserve">(3) Small forestland owners can enhance the state's ability to continue to sequester carbon by maintaining healthy forests and producing forest products. Small forestland owners should be encouraged to maintain their land as working forests. One way to do so is to recognize the value of sequestered carbon in forest riparian easements created in RCW 76.13.120.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13</w:t>
      </w:r>
      <w:r>
        <w:rPr/>
        <w:t xml:space="preserve">.</w:t>
      </w:r>
      <w:r>
        <w:t xml:space="preserve">120</w:t>
      </w:r>
      <w:r>
        <w:rPr/>
        <w:t xml:space="preserve"> and 2017 c 140 s 1 are each amended to read as follows:</w:t>
      </w:r>
    </w:p>
    <w:p>
      <w:pPr>
        <w:spacing w:before="0" w:after="0" w:line="408" w:lineRule="exact"/>
        <w:ind w:left="0" w:right="0" w:firstLine="576"/>
        <w:jc w:val="left"/>
      </w:pPr>
      <w:r>
        <w:rPr/>
        <w:t xml:space="preserve">(1) The legislature finds that the state should acquire easements primarily along riparian and other sensitive aquatic areas from qualifying small forestland owners willing to sell or donate easements to the state provided that the state will not be required to acquire the easements if they are subject to unacceptable liabilities. Therefore the legislature establishes a forestry riparian easement program.</w:t>
      </w:r>
    </w:p>
    <w:p>
      <w:pPr>
        <w:spacing w:before="0" w:after="0" w:line="408" w:lineRule="exact"/>
        <w:ind w:left="0" w:right="0" w:firstLine="576"/>
        <w:jc w:val="left"/>
      </w:pPr>
      <w:r>
        <w:rPr/>
        <w:t xml:space="preserve">(2) The definitions in this subsection apply throughout this section and RCW 76.13.100, 76.13.110, 76.13.140, and 76.13.160 unless the context clearly requires otherwise.</w:t>
      </w:r>
    </w:p>
    <w:p>
      <w:pPr>
        <w:spacing w:before="0" w:after="0" w:line="408" w:lineRule="exact"/>
        <w:ind w:left="0" w:right="0" w:firstLine="576"/>
        <w:jc w:val="left"/>
      </w:pPr>
      <w:r>
        <w:rPr/>
        <w:t xml:space="preserve">(a) "Forestry riparian easement" means an easement covering qualifying timber granted voluntarily to the state by a qualifying small forestland owner.</w:t>
      </w:r>
    </w:p>
    <w:p>
      <w:pPr>
        <w:spacing w:before="0" w:after="0" w:line="408" w:lineRule="exact"/>
        <w:ind w:left="0" w:right="0" w:firstLine="576"/>
        <w:jc w:val="left"/>
      </w:pPr>
      <w:r>
        <w:rPr/>
        <w:t xml:space="preserve">(b) "Qualifying small forestland owner" means a landowner meeting all of the following characteristics as of the date the department offers compensation for a forestry riparian easement:</w:t>
      </w:r>
    </w:p>
    <w:p>
      <w:pPr>
        <w:spacing w:before="0" w:after="0" w:line="408" w:lineRule="exact"/>
        <w:ind w:left="0" w:right="0" w:firstLine="576"/>
        <w:jc w:val="left"/>
      </w:pPr>
      <w:r>
        <w:rPr/>
        <w:t xml:space="preserve">(i) Is a small forestland owner as defined in (d) of this subsection; and</w:t>
      </w:r>
    </w:p>
    <w:p>
      <w:pPr>
        <w:spacing w:before="0" w:after="0" w:line="408" w:lineRule="exact"/>
        <w:ind w:left="0" w:right="0" w:firstLine="576"/>
        <w:jc w:val="left"/>
      </w:pPr>
      <w:r>
        <w:rPr/>
        <w:t xml:space="preserve">(ii) Is an individual, partnership, corporation, or other nongovernmental for-profit legal entity.</w:t>
      </w:r>
    </w:p>
    <w:p>
      <w:pPr>
        <w:spacing w:before="0" w:after="0" w:line="408" w:lineRule="exact"/>
        <w:ind w:left="0" w:right="0" w:firstLine="576"/>
        <w:jc w:val="left"/>
      </w:pPr>
      <w:r>
        <w:rPr/>
        <w:t xml:space="preserve">(c) "Qualifying timber" means those forest trees for which the small forestland owner is willing to grant the state a forestry riparian easement and meets all of the following:</w:t>
      </w:r>
    </w:p>
    <w:p>
      <w:pPr>
        <w:spacing w:before="0" w:after="0" w:line="408" w:lineRule="exact"/>
        <w:ind w:left="0" w:right="0" w:firstLine="576"/>
        <w:jc w:val="left"/>
      </w:pPr>
      <w:r>
        <w:rPr/>
        <w:t xml:space="preserve">(i) The forest trees are covered by a forest practices application that the small forestland owner is required to leave unharvested under the rules adopted under RCW 76.09.040, 76.09.055, and 76.09.370 or that is made uneconomic to harvest by those rules;</w:t>
      </w:r>
    </w:p>
    <w:p>
      <w:pPr>
        <w:spacing w:before="0" w:after="0" w:line="408" w:lineRule="exact"/>
        <w:ind w:left="0" w:right="0" w:firstLine="576"/>
        <w:jc w:val="left"/>
      </w:pPr>
      <w:r>
        <w:rPr/>
        <w:t xml:space="preserve">(ii) The forest trees are within or bordering a commercially reasonable harvest unit as determined under rules adopted by the forest practices board, or for which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(iii) The forest trees are located within, or affected by forest practices rules pertaining to any one, or all, of the following:</w:t>
      </w:r>
    </w:p>
    <w:p>
      <w:pPr>
        <w:spacing w:before="0" w:after="0" w:line="408" w:lineRule="exact"/>
        <w:ind w:left="0" w:right="0" w:firstLine="576"/>
        <w:jc w:val="left"/>
      </w:pPr>
      <w:r>
        <w:rPr/>
        <w:t xml:space="preserve">(A) Riparian or other sensitive aquatic areas;</w:t>
      </w:r>
    </w:p>
    <w:p>
      <w:pPr>
        <w:spacing w:before="0" w:after="0" w:line="408" w:lineRule="exact"/>
        <w:ind w:left="0" w:right="0" w:firstLine="576"/>
        <w:jc w:val="left"/>
      </w:pPr>
      <w:r>
        <w:rPr/>
        <w:t xml:space="preserve">(B) Channel migration zones; or</w:t>
      </w:r>
    </w:p>
    <w:p>
      <w:pPr>
        <w:spacing w:before="0" w:after="0" w:line="408" w:lineRule="exact"/>
        <w:ind w:left="0" w:right="0" w:firstLine="576"/>
        <w:jc w:val="left"/>
      </w:pPr>
      <w:r>
        <w:rPr/>
        <w:t xml:space="preserve">(C) Areas of potentially unstable slopes or landforms, verified by the department, and must meet all of the following:</w:t>
      </w:r>
    </w:p>
    <w:p>
      <w:pPr>
        <w:spacing w:before="0" w:after="0" w:line="408" w:lineRule="exact"/>
        <w:ind w:left="0" w:right="0" w:firstLine="576"/>
        <w:jc w:val="left"/>
      </w:pPr>
      <w:r>
        <w:rPr/>
        <w:t xml:space="preserve">(I) Are addressed in a forest practices application;</w:t>
      </w:r>
    </w:p>
    <w:p>
      <w:pPr>
        <w:spacing w:before="0" w:after="0" w:line="408" w:lineRule="exact"/>
        <w:ind w:left="0" w:right="0" w:firstLine="576"/>
        <w:jc w:val="left"/>
      </w:pPr>
      <w:r>
        <w:rPr/>
        <w:t xml:space="preserve">(II) Are adjacent to a commercially reasonable harvest area; and</w:t>
      </w:r>
    </w:p>
    <w:p>
      <w:pPr>
        <w:spacing w:before="0" w:after="0" w:line="408" w:lineRule="exact"/>
        <w:ind w:left="0" w:right="0" w:firstLine="576"/>
        <w:jc w:val="left"/>
      </w:pPr>
      <w:r>
        <w:rPr/>
        <w:t xml:space="preserve">(III) Have the potential to deliver sediment or debris to a public resource or threaten public safety.</w:t>
      </w:r>
    </w:p>
    <w:p>
      <w:pPr>
        <w:spacing w:before="0" w:after="0" w:line="408" w:lineRule="exact"/>
        <w:ind w:left="0" w:right="0" w:firstLine="576"/>
        <w:jc w:val="left"/>
      </w:pPr>
      <w:r>
        <w:rPr/>
        <w:t xml:space="preserve">(d) "Small forestland owner" means a landowner meeting all of the following characteristics:</w:t>
      </w:r>
    </w:p>
    <w:p>
      <w:pPr>
        <w:spacing w:before="0" w:after="0" w:line="408" w:lineRule="exact"/>
        <w:ind w:left="0" w:right="0" w:firstLine="576"/>
        <w:jc w:val="left"/>
      </w:pPr>
      <w:r>
        <w:rPr/>
        <w:t xml:space="preserve">(i) A forestland owner as defined in RCW 76.09.020 whose interest in the land and timber is in fee or who has rights to the timber to be included in the forestry riparian easement that extend at least fifty years from the date the completed forestry riparian easement application associated with the easement is submitted;</w:t>
      </w:r>
    </w:p>
    <w:p>
      <w:pPr>
        <w:spacing w:before="0" w:after="0" w:line="408" w:lineRule="exact"/>
        <w:ind w:left="0" w:right="0" w:firstLine="576"/>
        <w:jc w:val="left"/>
      </w:pPr>
      <w:r>
        <w:rPr/>
        <w:t xml:space="preserve">(ii) An entity that has harvested from its own lands in this state during the three years prior to the year of application an average timber volume that would qualify the owner as a small harvester under RCW 84.33.035; and</w:t>
      </w:r>
    </w:p>
    <w:p>
      <w:pPr>
        <w:spacing w:before="0" w:after="0" w:line="408" w:lineRule="exact"/>
        <w:ind w:left="0" w:right="0" w:firstLine="576"/>
        <w:jc w:val="left"/>
      </w:pPr>
      <w:r>
        <w:rPr/>
        <w:t xml:space="preserve">(iii) An entity that certifies at the time of application that it does not expect to harvest from its own lands more than the volume allowed by RCW 84.33.035 during the ten years following application. If a landowner's prior three-year average harvest exceeds the limit of RCW 84.33.035, or the landowner expects to exceed this limit during the ten years following application, and that landowner establishes to the department's reasonable satisfaction that the harvest limits were or will be exceeded to raise funds to pay estate taxes or equally compelling and unexpected obligations such as court-ordered judgments or extraordinary medical expenses, the landowner shall be deemed to be a small forestland owner. For purposes of determining whether a person qualifies as a small forestland owner, the small forestland owner office, created in RCW 76.13.110, shall evaluate the landowner under this definition, pursuant to RCW 76.13.160, as of the date that the forest practices application is submitted and the date that the department offers compensation for the forestry riparian easement. A small forestland owner can include an individual, partnership, corporation, or other nongovernmental legal entity. If a landowner grants timber rights to another entity for less than five years, the landowner may still qualify as a small forestland owner under this section. If a landowner is unable to obtain an approved forest practices application for timber harvest for any of his or her land because of restrictions under the forest practices rules, the landowner may still qualify as a small forestland owner under this section.</w:t>
      </w:r>
    </w:p>
    <w:p>
      <w:pPr>
        <w:spacing w:before="0" w:after="0" w:line="408" w:lineRule="exact"/>
        <w:ind w:left="0" w:right="0" w:firstLine="576"/>
        <w:jc w:val="left"/>
      </w:pPr>
      <w:r>
        <w:rPr/>
        <w:t xml:space="preserve">(e) "Completion of harvest" means that the trees have been harvested from an area and that further entry into that area by mechanized logging or slash treating equipment is not expected.</w:t>
      </w:r>
    </w:p>
    <w:p>
      <w:pPr>
        <w:spacing w:before="0" w:after="0" w:line="408" w:lineRule="exact"/>
        <w:ind w:left="0" w:right="0" w:firstLine="576"/>
        <w:jc w:val="left"/>
      </w:pPr>
      <w:r>
        <w:rPr/>
        <w:t xml:space="preserve">(3) The department is authorized and directed to accept and hold in the name of the state of Washington forestry riparian easements granted by qualifying small forestland owners covering qualifying timber and to pay compensation to the landowners in accordance with this section. The department may not transfer the easements to any entity other than another state agency.</w:t>
      </w:r>
    </w:p>
    <w:p>
      <w:pPr>
        <w:spacing w:before="0" w:after="0" w:line="408" w:lineRule="exact"/>
        <w:ind w:left="0" w:right="0" w:firstLine="576"/>
        <w:jc w:val="left"/>
      </w:pPr>
      <w:r>
        <w:rPr/>
        <w:t xml:space="preserve">(4) Forestry riparian easements shall be effective for fifty years from the date of the completed forestry riparian easement application, unless the easement is voluntarily terminated earlier by the department, based on a determination that termination is in the best interest of the state, or under the terms of a termination clause in the easement.</w:t>
      </w:r>
    </w:p>
    <w:p>
      <w:pPr>
        <w:spacing w:before="0" w:after="0" w:line="408" w:lineRule="exact"/>
        <w:ind w:left="0" w:right="0" w:firstLine="576"/>
        <w:jc w:val="left"/>
      </w:pPr>
      <w:r>
        <w:rPr/>
        <w:t xml:space="preserve">(5) Forestry riparian easements shall be restrictive only, and shall preserve all lawful uses of the easement premises by the landowner that are consistent with the terms of the easement and the requirement to protect riparian functions during the term of the easement, subject to the restriction that the leave trees required by the rules to be left on the easement premises may not be cut during the term of the easement. No right of public access to or across, or any public use of the easement premises is created by this statute or by the easement. Forestry riparian easements shall not be deemed to trigger the compensating tax of or otherwise disqualify land from being taxed under chapter 84.33 or 84.34 RCW.</w:t>
      </w:r>
    </w:p>
    <w:p>
      <w:pPr>
        <w:spacing w:before="0" w:after="0" w:line="408" w:lineRule="exact"/>
        <w:ind w:left="0" w:right="0" w:firstLine="576"/>
        <w:jc w:val="left"/>
      </w:pPr>
      <w:r>
        <w:rPr/>
        <w:t xml:space="preserve">(6) The small forestland owner office shall determine what constitutes a completed application for a forestry riparian easement. An application shall, at a minimum, include documentation of the owner's status as a qualifying small forestland owner, identification of location and the types of qualifying timber, and notification of completion of harvest, if applicable.</w:t>
      </w:r>
    </w:p>
    <w:p>
      <w:pPr>
        <w:spacing w:before="0" w:after="0" w:line="408" w:lineRule="exact"/>
        <w:ind w:left="0" w:right="0" w:firstLine="576"/>
        <w:jc w:val="left"/>
      </w:pPr>
      <w:r>
        <w:rPr/>
        <w:t xml:space="preserve">(7) Upon receipt of the qualifying small forestland owner's forestry riparian easement application, and subject to the availability of amounts appropriated for this specific purpose, the following must occur:</w:t>
      </w:r>
    </w:p>
    <w:p>
      <w:pPr>
        <w:spacing w:before="0" w:after="0" w:line="408" w:lineRule="exact"/>
        <w:ind w:left="0" w:right="0" w:firstLine="576"/>
        <w:jc w:val="left"/>
      </w:pPr>
      <w:r>
        <w:rPr/>
        <w:t xml:space="preserve">(a) The small forestland owner office must determine the compensation to be offered to the qualifying small forestland owner for qualifying timber after the department accepts the completed forestry riparian easement application and the landowner has completed marking the boundary of the area containing the qualifying timber. The legislature recognizes that there is not readily available market transaction evidence of value for easements of the nature required by this section, and thus establishes the methodology provided in this subsection to ascertain the value for forestry riparian easements. Values so determined may not be considered competent evidence of value for any other purpose.</w:t>
      </w:r>
    </w:p>
    <w:p>
      <w:pPr>
        <w:spacing w:before="0" w:after="0" w:line="408" w:lineRule="exact"/>
        <w:ind w:left="0" w:right="0" w:firstLine="576"/>
        <w:jc w:val="left"/>
      </w:pPr>
      <w:r>
        <w:rPr/>
        <w:t xml:space="preserve">(b) The small forestland owner office, subject to the availability of amounts appropriated for this specific purpose, is responsible for assessing the volume of qualifying timber. However, no more than fifty percent of the total amounts appropriated for the forestry riparian easement program may be applied to determine the volume of qualifying timber for completed forestry riparian easement applications. Based on the volume established by the small forestland owner office and using data obtained or maintained by the department of revenue under RCW 84.33.074 and 84.33.091, the small forestland owner office shall attempt to determine the fair market value of the qualifying timber as of the date the complete forestry riparian easement application is received. Removal of any qualifying timber before the expiration of the easement must be in accordance with the forest practices rules and the terms of the easement. There shall be no reduction in compensation for reentry.</w:t>
      </w:r>
    </w:p>
    <w:p>
      <w:pPr>
        <w:spacing w:before="0" w:after="0" w:line="408" w:lineRule="exact"/>
        <w:ind w:left="0" w:right="0" w:firstLine="576"/>
        <w:jc w:val="left"/>
      </w:pPr>
      <w:r>
        <w:rPr/>
        <w:t xml:space="preserve">(8)</w:t>
      </w:r>
      <w:r>
        <w:rPr>
          <w:u w:val="single"/>
        </w:rPr>
        <w:t xml:space="preserve">(a) Any state program that places a value on carbon may recognize and include the value of the carbon stored in forest riparian easements.</w:t>
      </w:r>
    </w:p>
    <w:p>
      <w:pPr>
        <w:spacing w:before="0" w:after="0" w:line="408" w:lineRule="exact"/>
        <w:ind w:left="0" w:right="0" w:firstLine="576"/>
        <w:jc w:val="left"/>
      </w:pPr>
      <w:r>
        <w:rPr>
          <w:u w:val="single"/>
        </w:rPr>
        <w:t xml:space="preserve">(b) For all riparian easements, if the landowner has not been compensated for the value of the carbon under this section, the landowner may market the carbon stored in the easement.</w:t>
      </w:r>
    </w:p>
    <w:p>
      <w:pPr>
        <w:spacing w:before="0" w:after="0" w:line="408" w:lineRule="exact"/>
        <w:ind w:left="0" w:right="0" w:firstLine="576"/>
        <w:jc w:val="left"/>
      </w:pPr>
      <w:r>
        <w:rPr>
          <w:u w:val="single"/>
        </w:rPr>
        <w:t xml:space="preserve">(9)</w:t>
      </w:r>
      <w:r>
        <w:rPr/>
        <w:t xml:space="preserve">(a) Except as provided in subsection </w:t>
      </w:r>
      <w:r>
        <w:t>((</w:t>
      </w:r>
      <w:r>
        <w:rPr>
          <w:strike/>
        </w:rPr>
        <w:t xml:space="preserve">(9)</w:t>
      </w:r>
      <w:r>
        <w:t>))</w:t>
      </w:r>
      <w:r>
        <w:rPr/>
        <w:t xml:space="preserve"> </w:t>
      </w:r>
      <w:r>
        <w:rPr>
          <w:u w:val="single"/>
        </w:rPr>
        <w:t xml:space="preserve">(10)</w:t>
      </w:r>
      <w:r>
        <w:rPr/>
        <w:t xml:space="preserve"> of this section and subject to the availability of amounts appropriated for this specific purpose, the small forestland owner office shall offer compensation for qualifying timber to the qualifying small forestland owner in the amount of fifty percent of the value </w:t>
      </w:r>
      <w:r>
        <w:rPr>
          <w:u w:val="single"/>
        </w:rPr>
        <w:t xml:space="preserve">of the timber</w:t>
      </w:r>
      <w:r>
        <w:rPr/>
        <w:t xml:space="preserve"> determined by the small forestland owner office, plus the compliance and reimbursement costs as determined in accordance with RCW 76.13.140. However, compensation for any qualifying small forestland owner for qualifying timber located on potentially unstable slopes or landforms may not exceed a total of fifty thousand dollars during any biennial funding period.</w:t>
      </w:r>
    </w:p>
    <w:p>
      <w:pPr>
        <w:spacing w:before="0" w:after="0" w:line="408" w:lineRule="exact"/>
        <w:ind w:left="0" w:right="0" w:firstLine="576"/>
        <w:jc w:val="left"/>
      </w:pPr>
      <w:r>
        <w:rPr/>
        <w:t xml:space="preserve">(b) If the landowner accepts the offer for qualifying timber, the department shall pay the compensation promptly upon:</w:t>
      </w:r>
    </w:p>
    <w:p>
      <w:pPr>
        <w:spacing w:before="0" w:after="0" w:line="408" w:lineRule="exact"/>
        <w:ind w:left="0" w:right="0" w:firstLine="576"/>
        <w:jc w:val="left"/>
      </w:pPr>
      <w:r>
        <w:rPr/>
        <w:t xml:space="preserve">(i) Completion of harvest in the area within a commercially reasonable harvest unit with which the forestry riparian easement is associated under an approved forest practices application, unless an approved forest practices application for timber harvest cannot be obtained because of restrictions under the forest practices rules;</w:t>
      </w:r>
    </w:p>
    <w:p>
      <w:pPr>
        <w:spacing w:before="0" w:after="0" w:line="408" w:lineRule="exact"/>
        <w:ind w:left="0" w:right="0" w:firstLine="576"/>
        <w:jc w:val="left"/>
      </w:pPr>
      <w:r>
        <w:rPr/>
        <w:t xml:space="preserve">(ii) Verification that the landowner has no outstanding violations under chapter 76.09 RCW or any associated rules; and</w:t>
      </w:r>
    </w:p>
    <w:p>
      <w:pPr>
        <w:spacing w:before="0" w:after="0" w:line="408" w:lineRule="exact"/>
        <w:ind w:left="0" w:right="0" w:firstLine="576"/>
        <w:jc w:val="left"/>
      </w:pPr>
      <w:r>
        <w:rPr/>
        <w:t xml:space="preserve">(iii) Execution and delivery of the easement to the department.</w:t>
      </w:r>
    </w:p>
    <w:p>
      <w:pPr>
        <w:spacing w:before="0" w:after="0" w:line="408" w:lineRule="exact"/>
        <w:ind w:left="0" w:right="0" w:firstLine="576"/>
        <w:jc w:val="left"/>
      </w:pPr>
      <w:r>
        <w:rPr/>
        <w:t xml:space="preserve">(c) Upon donation or payment of compensation, the department may record the easement.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approved forest practices applications for which the regulatory impact is greater than the average percentage impact for all small forestland owners as determined by an analysis by the department under the regulatory fairness act, chapter 19.85 RCW, the compensation offered will be increased to one hundred percent for that portion of the regulatory impact that is in excess of the average. Regulatory impact includes all trees identified as qualifying timber. A separate average or high impact regulatory threshold shall be established for western and eastern Washington. Criteria for these measurements and payments shall be established by the small forestland owner office.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forest practices board shall adopt rules under the administrative procedure act, chapter 34.05 RCW, to implement the forestry riparian easement program, including the following:</w:t>
      </w:r>
    </w:p>
    <w:p>
      <w:pPr>
        <w:spacing w:before="0" w:after="0" w:line="408" w:lineRule="exact"/>
        <w:ind w:left="0" w:right="0" w:firstLine="576"/>
        <w:jc w:val="left"/>
      </w:pPr>
      <w:r>
        <w:rPr/>
        <w:t xml:space="preserve">(a) A standard version of a forestry riparian easement application as well as all additional documents necessary or advisable to create the forestry riparian easements as provided for in this section;</w:t>
      </w:r>
    </w:p>
    <w:p>
      <w:pPr>
        <w:spacing w:before="0" w:after="0" w:line="408" w:lineRule="exact"/>
        <w:ind w:left="0" w:right="0" w:firstLine="576"/>
        <w:jc w:val="left"/>
      </w:pPr>
      <w:r>
        <w:rPr/>
        <w:t xml:space="preserve">(b) Standards for descriptions of the easement premises with a degree of precision that is reasonable in relation to the values involved;</w:t>
      </w:r>
    </w:p>
    <w:p>
      <w:pPr>
        <w:spacing w:before="0" w:after="0" w:line="408" w:lineRule="exact"/>
        <w:ind w:left="0" w:right="0" w:firstLine="576"/>
        <w:jc w:val="left"/>
      </w:pPr>
      <w:r>
        <w:rPr/>
        <w:t xml:space="preserve">(c) Methods and standards for cruises and valuation of forestry riparian easements for purposes of establishing the compensation. The department shall perform the timber cruises of forestry riparian easements required under this chapter and chapter 76.09 RCW. Timber cruises are subject to amounts appropriated for this purpose. However, no more than fifty percent of the total appropriated funding for the forestry riparian easement program may be applied to determine the volume of qualifying timber for completed forestry riparian easement applications. Any rules concerning the methods and standards for valuations of forestry riparian easements shall apply only to the department, qualifying small forestland owners, and the small forestland owner office;</w:t>
      </w:r>
    </w:p>
    <w:p>
      <w:pPr>
        <w:spacing w:before="0" w:after="0" w:line="408" w:lineRule="exact"/>
        <w:ind w:left="0" w:right="0" w:firstLine="576"/>
        <w:jc w:val="left"/>
      </w:pPr>
      <w:r>
        <w:rPr/>
        <w:t xml:space="preserve">(d) A method to determine that a forest practices application involves a commercially reasonable harvest, and adopt criteria for entering into a forestry riparian easement where a commercially reasonable harvest is not possible or a forest practices application that has been submitted cannot be approved because of restrictions under the forest practices rules;</w:t>
      </w:r>
    </w:p>
    <w:p>
      <w:pPr>
        <w:spacing w:before="0" w:after="0" w:line="408" w:lineRule="exact"/>
        <w:ind w:left="0" w:right="0" w:firstLine="576"/>
        <w:jc w:val="left"/>
      </w:pPr>
      <w:r>
        <w:rPr/>
        <w:t xml:space="preserve">(e) A method to address blowdown of qualified timber falling outside the easement premises;</w:t>
      </w:r>
    </w:p>
    <w:p>
      <w:pPr>
        <w:spacing w:before="0" w:after="0" w:line="408" w:lineRule="exact"/>
        <w:ind w:left="0" w:right="0" w:firstLine="576"/>
        <w:jc w:val="left"/>
      </w:pPr>
      <w:r>
        <w:rPr/>
        <w:t xml:space="preserve">(f) A formula for sharing of proceeds in relation to the acquisition of qualified timber covered by an easement through the exercise or threats of eminent domain by a federal or state agency with eminent domain authority, based on the present value of the department's and the landowner's relative interests in the qualified timber;</w:t>
      </w:r>
    </w:p>
    <w:p>
      <w:pPr>
        <w:spacing w:before="0" w:after="0" w:line="408" w:lineRule="exact"/>
        <w:ind w:left="0" w:right="0" w:firstLine="576"/>
        <w:jc w:val="left"/>
      </w:pPr>
      <w:r>
        <w:rPr/>
        <w:t xml:space="preserve">(g) High impact regulatory thresholds;</w:t>
      </w:r>
    </w:p>
    <w:p>
      <w:pPr>
        <w:spacing w:before="0" w:after="0" w:line="408" w:lineRule="exact"/>
        <w:ind w:left="0" w:right="0" w:firstLine="576"/>
        <w:jc w:val="left"/>
      </w:pPr>
      <w:r>
        <w:rPr/>
        <w:t xml:space="preserve">(h) A method to determine timber that is qualifying timber because it is rendered uneconomic to harvest by the rules adopted under RCW 76.09.055 and 76.09.370;</w:t>
      </w:r>
    </w:p>
    <w:p>
      <w:pPr>
        <w:spacing w:before="0" w:after="0" w:line="408" w:lineRule="exact"/>
        <w:ind w:left="0" w:right="0" w:firstLine="576"/>
        <w:jc w:val="left"/>
      </w:pPr>
      <w:r>
        <w:rPr/>
        <w:t xml:space="preserve">(i) A method for internal department review of small forestland owner office compensation decisions under this section; and</w:t>
      </w:r>
    </w:p>
    <w:p>
      <w:pPr>
        <w:spacing w:before="0" w:after="0" w:line="408" w:lineRule="exact"/>
        <w:ind w:left="0" w:right="0" w:firstLine="576"/>
        <w:jc w:val="left"/>
      </w:pPr>
      <w:r>
        <w:rPr/>
        <w:t xml:space="preserve">(j) Consistent with RCW 76.13.180, a method to collect reimbursement from landowners who received compensation for a forestry riparian easement and who, within the first ten years after receipt of compensation for a forestry riparian easement, sells the land on which an easement is located to a nonqualifying landowner.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legislature finds that the overall societal benefits of economically viable working forests are multiple, and include the protection of clean, cold water, the provision of wildlife habitat, the sheltering of cultural resources from development, and the natural carbon storage potential of growing trees. As such, working forests and the forest riparian easement program may be part of the state's overall carbon sequestration strategy. If the state creates a climate strategy, the department must share information regarding the carbon sequestration benefits of the forest riparian easement program with other state programs using methods and protocols established in the state climate strategy that attempt to quantify carbon storage or account for carbon emissions. The department must promote the expansion of funding for the forest riparian easement program and the ecosystem services supported by the program based on the findings stated in RCW 76.13.100. Nothing in this subsection allows a landowner to be reimbursed by the state more than once for the same forest riparian easement application </w:t>
      </w:r>
      <w:r>
        <w:rPr>
          <w:u w:val="single"/>
        </w:rPr>
        <w:t xml:space="preserve">for timber or carbon, but reimbursement for timber and carbon on qualifying timber is permissible</w:t>
      </w:r>
      <w:r>
        <w:rPr/>
        <w:t xml:space="preserve">."</w:t>
      </w:r>
    </w:p>
    <w:p>
      <w:pPr>
        <w:spacing w:before="480" w:after="0" w:line="408" w:lineRule="exact"/>
      </w:pPr>
      <w:r>
        <w:rPr>
          <w:b/>
          <w:u w:val="single"/>
        </w:rPr>
        <w:t xml:space="preserve">SHB 2714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Natural Resources &amp; Parks</w:t>
      </w:r>
    </w:p>
    <w:p>
      <w:pPr>
        <w:jc w:val="right"/>
      </w:pPr>
    </w:p>
    <w:p>
      <w:pPr>
        <w:spacing w:before="0" w:after="0" w:line="408" w:lineRule="exact"/>
        <w:ind w:left="0" w:right="0" w:firstLine="576"/>
        <w:jc w:val="left"/>
      </w:pPr>
      <w:r>
        <w:rPr/>
        <w:t xml:space="preserve">On page 1, line 2 of the title, after "easements;" strike the remainder of the title and insert "amending RCW 76.13.120; and creating a new section."</w:t>
      </w:r>
    </w:p>
    <w:p>
      <w:pPr>
        <w:spacing w:before="0" w:after="0" w:line="408" w:lineRule="exact"/>
        <w:ind w:left="0" w:right="0" w:firstLine="576"/>
        <w:jc w:val="left"/>
      </w:pPr>
      <w:r>
        <w:rPr>
          <w:u w:val="single"/>
        </w:rPr>
        <w:t xml:space="preserve">EFFECT:</w:t>
      </w:r>
      <w:r>
        <w:rPr/>
        <w:t xml:space="preserve"> Clarifies that a small forest landowner may market carbon stored in an easement if they have not been compensated for the value of the carbon under the easement program. Removes the requirement for the Department of Natural Resources to calculate the amount of carbon stored in qualifying timber using established formulas. Removes the requirement for future riparian easements to include the full value of carbon stored in all qualifying timber if the state develops markets for valuing carbon.</w:t>
      </w:r>
    </w:p>
    <w:p>
      <w:pPr>
        <w:spacing w:before="0" w:after="0" w:line="408" w:lineRule="exact"/>
        <w:ind w:left="0" w:right="0" w:firstLine="576"/>
        <w:jc w:val="left"/>
      </w:pPr>
      <w:r>
        <w:rPr/>
        <w:t xml:space="preserve">Provides that any state program that places a value on carbon may, rather than must, recognize and include the value of the carbon stored in forest riparian easements.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2d8d8074d04ce0" /></Relationships>
</file>