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c6ec24a734f7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2722-S.E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S7628.1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ESHB 2722</w:t>
      </w:r>
      <w:r>
        <w:t xml:space="preserve"> -</w:t>
      </w:r>
      <w:r>
        <w:t xml:space="preserve"> </w:t>
        <w:t xml:space="preserve">S AMD TO S AMD (S-7627.1/20)</w:t>
      </w:r>
      <w:r>
        <w:t xml:space="preserve"> </w:t>
      </w:r>
      <w:r>
        <w:rPr>
          <w:b/>
        </w:rPr>
        <w:t xml:space="preserve">1361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ADOPTED 03/10/2020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2, after "through" strike "7" and insert "8"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after line 39,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8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(1) A city, town, county, or municipal corporation may not implement local recycled content requirements for plastic beverage containers that must meet minimum postconsumer recycled content as required under sections 3 and 4 of this act.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Local laws and ordinances that are inconsistent with, more restrictive than, or exceed the requirements of this act, may not be enacted and are preempted."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11, line 17, after "through" strike "7" and insert "8"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Preempts local laws and ordinances for recycled content requirements for plastic beverage containers.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66bacaa121401b" /></Relationships>
</file>