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78f583334e246b7" /></Relationships>
</file>

<file path=word/document.xml><?xml version="1.0" encoding="utf-8"?>
<w:document xmlns:w="http://schemas.openxmlformats.org/wordprocessingml/2006/main">
  <w:body>
    <w:p>
      <w:r>
        <w:rPr>
          <w:b/>
        </w:rPr>
        <w:r>
          <w:rPr/>
          <w:t xml:space="preserve">2772-S</w:t>
        </w:r>
      </w:r>
      <w:r>
        <w:rPr>
          <w:b/>
        </w:rPr>
        <w:t xml:space="preserve"> </w:t>
        <w:t xml:space="preserve">AMS</w:t>
      </w:r>
      <w:r>
        <w:rPr>
          <w:b/>
        </w:rPr>
        <w:t xml:space="preserve"> </w:t>
        <w:r>
          <w:rPr/>
          <w:t xml:space="preserve">HUNT</w:t>
        </w:r>
      </w:r>
      <w:r>
        <w:rPr>
          <w:b/>
        </w:rPr>
        <w:t xml:space="preserve"> </w:t>
        <w:r>
          <w:rPr/>
          <w:t xml:space="preserve">S7467.1</w:t>
        </w:r>
      </w:r>
      <w:r>
        <w:rPr>
          <w:b/>
        </w:rPr>
        <w:t xml:space="preserve"> - NOT FOR FLOOR USE</w:t>
      </w:r>
    </w:p>
    <w:p>
      <w:pPr>
        <w:ind w:left="0" w:right="0" w:firstLine="576"/>
      </w:pPr>
    </w:p>
    <w:p>
      <w:pPr>
        <w:spacing w:before="480" w:after="0" w:line="408" w:lineRule="exact"/>
      </w:pPr>
      <w:r>
        <w:rPr>
          <w:b/>
          <w:u w:val="single"/>
        </w:rPr>
        <w:t xml:space="preserve">SHB 2772</w:t>
      </w:r>
      <w:r>
        <w:t xml:space="preserve"> -</w:t>
      </w:r>
      <w:r>
        <w:t xml:space="preserve"> </w:t>
        <w:t xml:space="preserve">S AMD TO SGTE COMM AMD (S-7224.1/20)</w:t>
      </w:r>
      <w:r>
        <w:t xml:space="preserve"> </w:t>
      </w:r>
      <w:r>
        <w:rPr>
          <w:b/>
        </w:rPr>
        <w:t xml:space="preserve">1328</w:t>
      </w:r>
    </w:p>
    <w:p>
      <w:pPr>
        <w:spacing w:before="0" w:after="0" w:line="408" w:lineRule="exact"/>
        <w:ind w:left="0" w:right="0" w:firstLine="576"/>
        <w:jc w:val="left"/>
      </w:pPr>
      <w:r>
        <w:rPr/>
        <w:t xml:space="preserve">By Senator Hunt</w:t>
      </w:r>
    </w:p>
    <w:p>
      <w:pPr>
        <w:jc w:val="right"/>
      </w:pPr>
    </w:p>
    <w:p>
      <w:pPr>
        <w:spacing w:before="0" w:after="0" w:line="408" w:lineRule="exact"/>
        <w:ind w:left="0" w:right="0" w:firstLine="576"/>
        <w:jc w:val="left"/>
      </w:pPr>
      <w:r>
        <w:rPr/>
        <w:t xml:space="preserve">On page 25, after line 32,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2019 c 428 s 20 are each amended to read as follows:</w:t>
      </w:r>
    </w:p>
    <w:p>
      <w:pPr>
        <w:spacing w:before="0" w:after="0" w:line="408" w:lineRule="exact"/>
        <w:ind w:left="0" w:right="0" w:firstLine="576"/>
        <w:jc w:val="left"/>
      </w:pPr>
      <w:r>
        <w:rPr/>
        <w:t xml:space="preserve">(1)(a) In addition to the information required under RCW 42.17A.205 and 42.17A.210, each candidate or political committee must file with the commission a report of all contributions received and expenditures made as a political committee on the next reporting date pursuant to the timeline established in this section.</w:t>
      </w:r>
    </w:p>
    <w:p>
      <w:pPr>
        <w:spacing w:before="0" w:after="0" w:line="408" w:lineRule="exact"/>
        <w:ind w:left="0" w:right="0" w:firstLine="576"/>
        <w:jc w:val="left"/>
      </w:pPr>
      <w:r>
        <w:rPr/>
        <w:t xml:space="preserve">(b) In addition to the information required under RCW 42.17A.207 and 42.17A.210, on the day an incidental committee files a statement of organization with the commission, each incidental committee must file with the commission a report of any election campaign expenditures under RCW 42.17A.240(6), as well as the source of the ten largest cumulative payments of ten thousand dollars or greater it received in the current calendar year from a single person, including any persons tied as the tenth largest source of payments it received, if any.</w:t>
      </w:r>
    </w:p>
    <w:p>
      <w:pPr>
        <w:spacing w:before="0" w:after="0" w:line="408" w:lineRule="exact"/>
        <w:ind w:left="0" w:right="0" w:firstLine="576"/>
        <w:jc w:val="left"/>
      </w:pPr>
      <w:r>
        <w:rPr/>
        <w:t xml:space="preserve">(2) Each treasurer of a candidate or political committee, or an incidental committee, required to file a statement of organization under this chapter, shall file with the commission a report, for each election in which a candidate, political committee, or incidental committee is participating,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 and</w:t>
      </w:r>
    </w:p>
    <w:p>
      <w:pPr>
        <w:spacing w:before="0" w:after="0" w:line="408" w:lineRule="exact"/>
        <w:ind w:left="0" w:right="0" w:firstLine="576"/>
        <w:jc w:val="left"/>
      </w:pPr>
      <w:r>
        <w:rPr/>
        <w:t xml:space="preserve">(b) On the tenth day of the first full month after the election.</w:t>
      </w:r>
    </w:p>
    <w:p>
      <w:pPr>
        <w:spacing w:before="0" w:after="0" w:line="408" w:lineRule="exact"/>
        <w:ind w:left="0" w:right="0" w:firstLine="576"/>
        <w:jc w:val="left"/>
      </w:pPr>
      <w:r>
        <w:rPr/>
        <w:t xml:space="preserve">(3)(a) Each treasurer of a candidate or political committee shall file with the commission a report on the tenth day of each month during which the candidate or political committee is not participating in an election campaign, only if the committee has received a contribution or made an expenditure in the preceding calendar month and either the total contributions received or total expenditures made since the last such report exceed two hundred dollars.</w:t>
      </w:r>
    </w:p>
    <w:p>
      <w:pPr>
        <w:spacing w:before="0" w:after="0" w:line="408" w:lineRule="exact"/>
        <w:ind w:left="0" w:right="0" w:firstLine="576"/>
        <w:jc w:val="left"/>
      </w:pPr>
      <w:r>
        <w:rPr/>
        <w:t xml:space="preserve">(b) Each incidental committee shall file with the commission a report on the tenth day of each month during which the incidental committee is not otherwise required to report under this section only if the committee has:</w:t>
      </w:r>
    </w:p>
    <w:p>
      <w:pPr>
        <w:spacing w:before="0" w:after="0" w:line="408" w:lineRule="exact"/>
        <w:ind w:left="0" w:right="0" w:firstLine="576"/>
        <w:jc w:val="left"/>
      </w:pPr>
      <w:r>
        <w:rPr/>
        <w:t xml:space="preserve">(i) Received a payment that would change the information required under RCW 42.17A.240(2)(d) as included in its last report; or</w:t>
      </w:r>
    </w:p>
    <w:p>
      <w:pPr>
        <w:spacing w:before="0" w:after="0" w:line="408" w:lineRule="exact"/>
        <w:ind w:left="0" w:right="0" w:firstLine="576"/>
        <w:jc w:val="left"/>
      </w:pPr>
      <w:r>
        <w:rPr/>
        <w:t xml:space="preserve">(ii) Made any election campaign expenditure reportable under RCW 42.17A.240(6) since its last report, and the total election campaign expenditures made since the last report exceed two hundred dollars.</w:t>
      </w:r>
    </w:p>
    <w:p>
      <w:pPr>
        <w:spacing w:before="0" w:after="0" w:line="408" w:lineRule="exact"/>
        <w:ind w:left="0" w:right="0" w:firstLine="576"/>
        <w:jc w:val="left"/>
      </w:pPr>
      <w:r>
        <w:rPr/>
        <w:t xml:space="preserve">(4)</w:t>
      </w:r>
      <w:r>
        <w:rPr>
          <w:u w:val="single"/>
        </w:rPr>
        <w:t xml:space="preserve">(a)</w:t>
      </w:r>
      <w:r>
        <w:rPr/>
        <w:t xml:space="preserve"> The report filed twenty-one days before the election shall report all contributions received</w:t>
      </w:r>
      <w:r>
        <w:rPr>
          <w:u w:val="single"/>
        </w:rPr>
        <w:t xml:space="preserve">, whether or not deposited into an account,</w:t>
      </w:r>
      <w:r>
        <w:rPr/>
        <w:t xml:space="preserve"> and </w:t>
      </w:r>
      <w:r>
        <w:rPr>
          <w:u w:val="single"/>
        </w:rPr>
        <w:t xml:space="preserve">all</w:t>
      </w:r>
      <w:r>
        <w:rPr/>
        <w:t xml:space="preserve"> expenditures made as of the end of one business day before the date of the report. The report filed seven days before the election shall report all contributions received</w:t>
      </w:r>
      <w:r>
        <w:rPr>
          <w:u w:val="single"/>
        </w:rPr>
        <w:t xml:space="preserve">, whether or not deposited into an account,</w:t>
      </w:r>
      <w:r>
        <w:rPr/>
        <w:t xml:space="preserve"> and </w:t>
      </w:r>
      <w:r>
        <w:rPr>
          <w:u w:val="single"/>
        </w:rPr>
        <w:t xml:space="preserve">all</w:t>
      </w:r>
      <w:r>
        <w:rPr/>
        <w:t xml:space="preserve"> expenditures made as of the end of one business day before the date of the report.</w:t>
      </w:r>
    </w:p>
    <w:p>
      <w:pPr>
        <w:spacing w:before="0" w:after="0" w:line="408" w:lineRule="exact"/>
        <w:ind w:left="0" w:right="0" w:firstLine="576"/>
        <w:jc w:val="left"/>
      </w:pPr>
      <w:r>
        <w:rPr>
          <w:u w:val="single"/>
        </w:rPr>
        <w:t xml:space="preserve">(b)</w:t>
      </w:r>
      <w:r>
        <w:rPr/>
        <w:t xml:space="preserve">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(5)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for a candidate or a political committee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the treasurer's records. In the event of deposits made by candidates, political committee members, or paid staff other than the treasurer, the copy shall be immediately provided to the treasurer for the treasurer's records. Each report shall be certified as correct by the treasurer.</w:t>
      </w:r>
    </w:p>
    <w:p>
      <w:pPr>
        <w:spacing w:before="0" w:after="0" w:line="408" w:lineRule="exact"/>
        <w:ind w:left="0" w:right="0" w:firstLine="576"/>
        <w:jc w:val="left"/>
      </w:pPr>
      <w:r>
        <w:rPr/>
        <w:t xml:space="preserve">(6)(a) The treasurer for a candidate or a political committee shall maintain books of account accurately reflecting all contributions and expenditures on a current basis within five business days of receipt or expenditure. During the ten calendar days immediately preceding the date of the election the books of account shall be kept current within one business day. As specified in the political committee's statement of organization filed under RCW 42.17A.205, the books of account must be open for public inspection by appointment at a place agreed upon by both the treasurer and the requestor, for inspections between 9:00 a.m. and 5:00 p.m. on any day from the tenth calendar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forty-eight hours of the time and day that is requested for the inspection. The treasurer may provide digital access or copies of the books of account in lieu of scheduling an appointment at a designated place for inspection. If the treasurer and requestor are unable to agree on a location and the treasurer has not provided digital access to the books of account, the default location for an appointment shall be a place of public accommodation selected by the treasurer within a reasonable distance from the treasurer's office.</w:t>
      </w:r>
    </w:p>
    <w:p>
      <w:pPr>
        <w:spacing w:before="0" w:after="0" w:line="408" w:lineRule="exact"/>
        <w:ind w:left="0" w:right="0" w:firstLine="576"/>
        <w:jc w:val="left"/>
      </w:pPr>
      <w:r>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spacing w:before="0" w:after="0" w:line="408" w:lineRule="exact"/>
        <w:ind w:left="0" w:right="0" w:firstLine="576"/>
        <w:jc w:val="left"/>
      </w:pPr>
      <w:r>
        <w:rPr/>
        <w:t xml:space="preserve">(c) A treasurer may refuse to show the books of account to any person who does not make an appointment or provide the required identification. The commission may issue limited rules to modify the requirements set forth in this section in consideration of other technology and best practices.</w:t>
      </w:r>
    </w:p>
    <w:p>
      <w:pPr>
        <w:spacing w:before="0" w:after="0" w:line="408" w:lineRule="exact"/>
        <w:ind w:left="0" w:right="0" w:firstLine="576"/>
        <w:jc w:val="left"/>
      </w:pPr>
      <w:r>
        <w:rPr/>
        <w:t xml:space="preserve">(7) Copies of all reports filed pursuant to this section shall be readily available for public inspection by appointment, pursuant to subsection (6) of this section.</w:t>
      </w:r>
    </w:p>
    <w:p>
      <w:pPr>
        <w:spacing w:before="0" w:after="0" w:line="408" w:lineRule="exact"/>
        <w:ind w:left="0" w:right="0" w:firstLine="576"/>
        <w:jc w:val="left"/>
      </w:pPr>
      <w:r>
        <w:rPr/>
        <w:t xml:space="preserve">(8) The treasurer or candidate shall preserve books of account, bills, receipts, and all other financial records of the campaign or political committee for not less than five calendar years following the year during which the transaction occurred or for any longer period as otherwise required by law.</w:t>
      </w:r>
    </w:p>
    <w:p>
      <w:pPr>
        <w:spacing w:before="0" w:after="0" w:line="408" w:lineRule="exact"/>
        <w:ind w:left="0" w:right="0" w:firstLine="576"/>
        <w:jc w:val="left"/>
      </w:pPr>
      <w:r>
        <w:rPr/>
        <w:t xml:space="preserve">(9) All reports filed pursuant to subsection (1) or (2) of this section shall be certified as correct by the candidate and the treasurer.</w:t>
      </w:r>
    </w:p>
    <w:p>
      <w:pPr>
        <w:spacing w:before="0" w:after="0" w:line="408" w:lineRule="exact"/>
        <w:ind w:left="0" w:right="0" w:firstLine="576"/>
        <w:jc w:val="left"/>
      </w:pPr>
      <w:r>
        <w:rPr/>
        <w:t xml:space="preserve">(10) Where there is not a pending complaint concerning a report, it is not evidence of a violation of this section to submit an amended report within twenty-one days of filing an initial report if:</w:t>
      </w:r>
    </w:p>
    <w:p>
      <w:pPr>
        <w:spacing w:before="0" w:after="0" w:line="408" w:lineRule="exact"/>
        <w:ind w:left="0" w:right="0" w:firstLine="576"/>
        <w:jc w:val="left"/>
      </w:pPr>
      <w:r>
        <w:rPr/>
        <w:t xml:space="preserve">(a) The report is accurately amended;</w:t>
      </w:r>
    </w:p>
    <w:p>
      <w:pPr>
        <w:spacing w:before="0" w:after="0" w:line="408" w:lineRule="exact"/>
        <w:ind w:left="0" w:right="0" w:firstLine="576"/>
        <w:jc w:val="left"/>
      </w:pPr>
      <w:r>
        <w:rPr/>
        <w:t xml:space="preserve">(b) The amended report is filed more than thirty days before an election;</w:t>
      </w:r>
    </w:p>
    <w:p>
      <w:pPr>
        <w:spacing w:before="0" w:after="0" w:line="408" w:lineRule="exact"/>
        <w:ind w:left="0" w:right="0" w:firstLine="576"/>
        <w:jc w:val="left"/>
      </w:pPr>
      <w:r>
        <w:rPr/>
        <w:t xml:space="preserve">(c) The total aggregate dollar amount of the adjustment for the amended report is within three times the contribution limit per election or two hundred dollars, whichever is greater; and</w:t>
      </w:r>
    </w:p>
    <w:p>
      <w:pPr>
        <w:spacing w:before="0" w:after="0" w:line="408" w:lineRule="exact"/>
        <w:ind w:left="0" w:right="0" w:firstLine="576"/>
        <w:jc w:val="left"/>
      </w:pPr>
      <w:r>
        <w:rPr/>
        <w:t xml:space="preserve">(d) The committee reported all information that was available to it at the time of filing, or made a good faith effort to do so, or if a refund of a contribution or expenditure is being reported.</w:t>
      </w:r>
    </w:p>
    <w:p>
      <w:pPr>
        <w:spacing w:before="0" w:after="0" w:line="408" w:lineRule="exact"/>
        <w:ind w:left="0" w:right="0" w:firstLine="576"/>
        <w:jc w:val="left"/>
      </w:pPr>
      <w:r>
        <w:rPr/>
        <w:t xml:space="preserve">(11)(a) When there is no outstanding debt or obligation, the campaign fund is closed, the campaign is concluded in all respects, and the political committee has ceased to function and intends to dissolve, the treasurer shall file a final report. Upon submitting a final report, the political committee so intending to dissolve must file notice of intent to dissolve with the commission and the commission must post the notice on its web site.</w:t>
      </w:r>
    </w:p>
    <w:p>
      <w:pPr>
        <w:spacing w:before="0" w:after="0" w:line="408" w:lineRule="exact"/>
        <w:ind w:left="0" w:right="0" w:firstLine="576"/>
        <w:jc w:val="left"/>
      </w:pPr>
      <w:r>
        <w:rPr/>
        <w:t xml:space="preserve">(b) Any political committee may dissolve sixty days after it files its notice to dissolve, only if:</w:t>
      </w:r>
    </w:p>
    <w:p>
      <w:pPr>
        <w:spacing w:before="0" w:after="0" w:line="408" w:lineRule="exact"/>
        <w:ind w:left="0" w:right="0" w:firstLine="576"/>
        <w:jc w:val="left"/>
      </w:pPr>
      <w:r>
        <w:rPr/>
        <w:t xml:space="preserve">(i) The political committee does not make any expenditures other than those related to the dissolution process or engage in any political activity or any other activities that generate additional reporting requirements under this chapter after filing such notice;</w:t>
      </w:r>
    </w:p>
    <w:p>
      <w:pPr>
        <w:spacing w:before="0" w:after="0" w:line="408" w:lineRule="exact"/>
        <w:ind w:left="0" w:right="0" w:firstLine="576"/>
        <w:jc w:val="left"/>
      </w:pPr>
      <w:r>
        <w:rPr/>
        <w:t xml:space="preserve">(ii) No complaint or court action under this chapter is pending against the political committee; and</w:t>
      </w:r>
    </w:p>
    <w:p>
      <w:pPr>
        <w:spacing w:before="0" w:after="0" w:line="408" w:lineRule="exact"/>
        <w:ind w:left="0" w:right="0" w:firstLine="576"/>
        <w:jc w:val="left"/>
      </w:pPr>
      <w:r>
        <w:rPr/>
        <w:t xml:space="preserve">(iii) All penalties assessed by the commission or court order have been paid by the political committee.</w:t>
      </w:r>
    </w:p>
    <w:p>
      <w:pPr>
        <w:spacing w:before="0" w:after="0" w:line="408" w:lineRule="exact"/>
        <w:ind w:left="0" w:right="0" w:firstLine="576"/>
        <w:jc w:val="left"/>
      </w:pPr>
      <w:r>
        <w:rPr/>
        <w:t xml:space="preserve">(c) The political committee must continue to report regularly as required under this chapter until all the conditions under (b) of this subsection are resolved.</w:t>
      </w:r>
    </w:p>
    <w:p>
      <w:pPr>
        <w:spacing w:before="0" w:after="0" w:line="408" w:lineRule="exact"/>
        <w:ind w:left="0" w:right="0" w:firstLine="576"/>
        <w:jc w:val="left"/>
      </w:pPr>
      <w:r>
        <w:rPr/>
        <w:t xml:space="preserve">(d) Upon dissolution, the commission must issue an acknowledgment of dissolution, the duties of the treasurer shall cease, and there shall be no further obligations under this chapter. Dissolution does not absolve the candidate or board of the committee from responsibility for any future obligations resulting from the finding after dissolution of a violation committed prior to dissolution.</w:t>
      </w:r>
    </w:p>
    <w:p>
      <w:pPr>
        <w:spacing w:before="0" w:after="0" w:line="408" w:lineRule="exact"/>
        <w:ind w:left="0" w:right="0" w:firstLine="576"/>
        <w:jc w:val="left"/>
      </w:pPr>
      <w:r>
        <w:rPr/>
        <w:t xml:space="preserve">(12) The commission must adopt rules for the dissolution of incidental committees."</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SHB 2772</w:t>
      </w:r>
      <w:r>
        <w:t xml:space="preserve"> -</w:t>
      </w:r>
      <w:r>
        <w:t xml:space="preserve"> </w:t>
        <w:t xml:space="preserve">S AMD TO SGTE COMM AMD (S-7224.1/20)</w:t>
      </w:r>
      <w:r>
        <w:t xml:space="preserve"> </w:t>
      </w:r>
      <w:r>
        <w:rPr>
          <w:b/>
        </w:rPr>
        <w:t xml:space="preserve">1328</w:t>
      </w:r>
    </w:p>
    <w:p>
      <w:pPr>
        <w:spacing w:before="0" w:after="0" w:line="408" w:lineRule="exact"/>
        <w:ind w:left="0" w:right="0" w:firstLine="576"/>
        <w:jc w:val="left"/>
      </w:pPr>
      <w:r>
        <w:rPr/>
        <w:t xml:space="preserve">By Senator Hunt</w:t>
      </w:r>
    </w:p>
    <w:p>
      <w:pPr>
        <w:jc w:val="right"/>
      </w:pPr>
    </w:p>
    <w:p>
      <w:pPr>
        <w:spacing w:before="0" w:after="0" w:line="408" w:lineRule="exact"/>
        <w:ind w:left="0" w:right="0" w:firstLine="576"/>
        <w:jc w:val="left"/>
      </w:pPr>
      <w:r>
        <w:rPr/>
        <w:t xml:space="preserve">On page 26, line 3, after "42.17A.710," strike "and 42.17A.765" and insert "42.17A.765, and 42.17A.235"</w:t>
      </w:r>
    </w:p>
    <w:p>
      <w:pPr>
        <w:spacing w:before="0" w:after="0" w:line="408" w:lineRule="exact"/>
        <w:ind w:left="0" w:right="0" w:firstLine="576"/>
        <w:jc w:val="left"/>
      </w:pPr>
      <w:r>
        <w:rPr>
          <w:u w:val="single"/>
        </w:rPr>
        <w:t xml:space="preserve">EFFECT:</w:t>
      </w:r>
      <w:r>
        <w:rPr/>
        <w:t xml:space="preserve"> Clarifies that campaign finance reports filed 21 days before the election date must include all contributions received, whether or not the contributions were deposited into an account.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75f00406ca4987" /></Relationships>
</file>