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b6e91f601c465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5079-S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S1403.1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5079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ADOPTED 02/06/2019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after line 3,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7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If specific funding to local governments for the purposes of section 4 of this act, referencing section 4 of this act by bill or chapter number and section number, is not provided by June 30, 2019, in the omnibus appropriations act, sections 4 and 5 of this act are null and void."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5079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NOT ADOPTED 02/06/2019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3 of the title, after "RCW;" strike "and"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1, line 4 of the title, after "29A.84 RCW" insert "; and creating a new section"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requirements that county auditors comply with a tribe's request for a ballot drop box or designation of a ballot pickup and collection location null and void if specific funding for those purposes is not provided in the 2019-2021 operating budget.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42c4750ab344e5" /></Relationships>
</file>