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cceac0d7e44949" /></Relationships>
</file>

<file path=word/document.xml><?xml version="1.0" encoding="utf-8"?>
<w:document xmlns:w="http://schemas.openxmlformats.org/wordprocessingml/2006/main">
  <w:body>
    <w:p>
      <w:r>
        <w:rPr>
          <w:b/>
        </w:rPr>
        <w:r>
          <w:rPr/>
          <w:t xml:space="preserve">5116-S2</w:t>
        </w:r>
      </w:r>
      <w:r>
        <w:rPr>
          <w:b/>
        </w:rPr>
        <w:t xml:space="preserve"> </w:t>
        <w:t xml:space="preserve">AMS</w:t>
      </w:r>
      <w:r>
        <w:rPr>
          <w:b/>
        </w:rPr>
        <w:t xml:space="preserve"> </w:t>
        <w:r>
          <w:rPr/>
          <w:t xml:space="preserve">BRAU</w:t>
        </w:r>
      </w:r>
      <w:r>
        <w:rPr>
          <w:b/>
        </w:rPr>
        <w:t xml:space="preserve"> </w:t>
        <w:r>
          <w:rPr/>
          <w:t xml:space="preserve">S2377.1</w:t>
        </w:r>
      </w:r>
      <w:r>
        <w:rPr>
          <w:b/>
        </w:rPr>
        <w:t xml:space="preserve"> - NOT FOR FLOOR USE</w:t>
      </w:r>
    </w:p>
    <w:p>
      <w:pPr>
        <w:ind w:left="0" w:right="0" w:firstLine="576"/>
      </w:pPr>
      <w:r>
        <w:rPr/>
        <w:t xml:space="preserve"> </w:t>
      </w:r>
    </w:p>
    <w:p>
      <w:pPr>
        <w:spacing w:before="480" w:after="0" w:line="408" w:lineRule="exact"/>
      </w:pPr>
      <w:r>
        <w:rPr>
          <w:b/>
          <w:u w:val="single"/>
        </w:rPr>
        <w:t xml:space="preserve">2SSB 5116</w:t>
      </w:r>
      <w:r>
        <w:t xml:space="preserve"> -</w:t>
      </w:r>
      <w:r>
        <w:t xml:space="preserve"> </w:t>
        <w:t xml:space="preserve">S AMD</w:t>
      </w:r>
      <w:r>
        <w:t xml:space="preserve"> </w:t>
      </w:r>
      <w:r>
        <w:rPr>
          <w:b/>
        </w:rPr>
        <w:t xml:space="preserve">109</w:t>
      </w:r>
    </w:p>
    <w:p>
      <w:pPr>
        <w:spacing w:before="0" w:after="0" w:line="408" w:lineRule="exact"/>
        <w:ind w:left="0" w:right="0" w:firstLine="576"/>
        <w:jc w:val="left"/>
      </w:pPr>
      <w:r>
        <w:rPr/>
        <w:t xml:space="preserve">By Senator Braun</w:t>
      </w:r>
    </w:p>
    <w:p>
      <w:pPr>
        <w:jc w:val="right"/>
      </w:pPr>
      <w:r>
        <w:rPr>
          <w:b/>
        </w:rPr>
        <w:t xml:space="preserve">NOT ADOPTED 02/28/2019</w:t>
      </w:r>
    </w:p>
    <w:p>
      <w:pPr>
        <w:spacing w:before="0" w:after="0" w:line="408" w:lineRule="exact"/>
        <w:ind w:left="0" w:right="0" w:firstLine="576"/>
        <w:jc w:val="left"/>
      </w:pPr>
      <w:r>
        <w:rPr/>
        <w:t xml:space="preserve">Beginning on page 32, line 1, strike all of sections 17 through 19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17</w:instrText>
      </w:r>
      <w:r/>
      <w:r>
        <w:rPr>
          <w:b/>
        </w:rPr>
        <w:fldChar w:fldCharType="end"/>
      </w:r>
      <w:r>
        <w:t xml:space="preserve">  </w:t>
      </w:r>
      <w:r>
        <w:rPr/>
        <w:t xml:space="preserve">This section is the tax preference performance statement for the tax preferences contained in sections 18 and 19, chapter . . ., Laws of 2019 (sections 18 and 19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the amount of carbon dioxide emissions in Washington. It is the legislature's intent to extend the expiration date of the existing sales and use tax exemption for machinery and equipment used directly in generating certain types of alternative energy, in order to reduce the price charged to customers for that machinery and equipment, thereby inducing some customers to buy machinery and equipment for alternative energy when they might not otherwise, thereby displacing electricity from fossil-fueled generating resources, thereby reducing the amount of carbon dioxide emissions in Washington.</w:t>
      </w:r>
    </w:p>
    <w:p>
      <w:pPr>
        <w:spacing w:before="0" w:after="0" w:line="408" w:lineRule="exact"/>
        <w:ind w:left="0" w:right="0" w:firstLine="576"/>
        <w:jc w:val="left"/>
      </w:pPr>
      <w:r>
        <w:rPr/>
        <w:t xml:space="preserve">(3) The joint legislative audit and review committee is not required to perform a tax preference review under chapter 43.136 RCW for the tax preferences contained in sections 18 and 19, chapter . . ., Laws of 2019 (sections 18 and 19 of this act) and it is the intent of the legislature to allow the tax preferences to expire upon their scheduled expiration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w:t>
      </w:r>
      <w:r>
        <w:t>))</w:t>
      </w:r>
      <w:r>
        <w:rPr/>
        <w:t xml:space="preserve"> </w:t>
      </w:r>
      <w:r>
        <w:rPr>
          <w:u w:val="single"/>
        </w:rPr>
        <w:t xml:space="preserve">P</w:t>
      </w:r>
      <w:r>
        <w:rPr/>
        <w:t xml:space="preserve">urchasers who have paid the tax imposed by RCW 82.08.020 on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January 1, </w:t>
      </w:r>
      <w:r>
        <w:t>((</w:t>
      </w:r>
      <w:r>
        <w:rPr>
          <w:strike/>
        </w:rPr>
        <w:t xml:space="preserve">2020</w:t>
      </w:r>
      <w:r>
        <w:t>))</w:t>
      </w:r>
      <w:r>
        <w:rPr/>
        <w:t xml:space="preserve"> </w:t>
      </w:r>
      <w:r>
        <w:rPr>
          <w:u w:val="single"/>
        </w:rPr>
        <w:t xml:space="preserve">2030</w:t>
      </w:r>
      <w:r>
        <w:rPr/>
        <w:t xml:space="preserve">, the amount of the exemption under this subsection (1)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(1)(b)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t xml:space="preserve">(6)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w:t>
      </w:r>
      <w:r>
        <w:t>))</w:t>
      </w:r>
      <w:r>
        <w:rPr/>
        <w:t xml:space="preserve"> </w:t>
      </w:r>
      <w:r>
        <w:rPr>
          <w:u w:val="single"/>
        </w:rPr>
        <w:t xml:space="preserve">C</w:t>
      </w:r>
      <w:r>
        <w:rPr/>
        <w:t xml:space="preserve">onsumers who have paid the tax imposed by RCW 82.12.020 on machinery and equipment used directly in generating electricity using fuel cells, wind, sun, biomass energy, tidal or wave energy, geothermal resources, or technology that converts otherwise lost energy from exhaust,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January 1, </w:t>
      </w:r>
      <w:r>
        <w:t>((</w:t>
      </w:r>
      <w:r>
        <w:rPr>
          <w:strike/>
        </w:rPr>
        <w:t xml:space="preserve">2020</w:t>
      </w:r>
      <w:r>
        <w:t>))</w:t>
      </w:r>
      <w:r>
        <w:rPr/>
        <w:t xml:space="preserve"> </w:t>
      </w:r>
      <w:r>
        <w:rPr>
          <w:u w:val="single"/>
        </w:rPr>
        <w:t xml:space="preserve">2030</w:t>
      </w:r>
      <w:r>
        <w:rPr/>
        <w:t xml:space="preserve">, the amount of the exemption under this subsection (1) is equal to seventy-five percent of the state and local sales tax paid. The consumer is eligible for an exemption under this subsection (1)(b) in the form of a remittance.</w:t>
      </w:r>
    </w:p>
    <w:p>
      <w:pPr>
        <w:spacing w:before="0" w:after="0" w:line="408" w:lineRule="exact"/>
        <w:ind w:left="0" w:right="0" w:firstLine="576"/>
        <w:jc w:val="left"/>
      </w:pPr>
      <w:r>
        <w:rPr/>
        <w:t xml:space="preserve">(2)(a) A person claiming an exemption in the form of a remittance under subsection (1)(b)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t>((</w:t>
      </w:r>
      <w:r>
        <w:rPr>
          <w:strike/>
        </w:rPr>
        <w:t xml:space="preserve">2019</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(6) This section expires January 1, </w:t>
      </w:r>
      <w:r>
        <w:t>((</w:t>
      </w:r>
      <w:r>
        <w:rPr>
          <w:strike/>
        </w:rPr>
        <w:t xml:space="preserve">2020</w:t>
      </w:r>
      <w:r>
        <w:t>))</w:t>
      </w:r>
      <w:r>
        <w:rPr/>
        <w:t xml:space="preserve"> </w:t>
      </w:r>
      <w:r>
        <w:rPr>
          <w:u w:val="single"/>
        </w:rPr>
        <w:t xml:space="preserve">2030</w:t>
      </w:r>
      <w:r>
        <w:rPr/>
        <w:t xml:space="preserve">."</w:t>
      </w:r>
    </w:p>
    <w:p>
      <w:pPr>
        <w:spacing w:before="0" w:after="0" w:line="408" w:lineRule="exact"/>
        <w:ind w:left="0" w:right="0" w:firstLine="576"/>
        <w:jc w:val="left"/>
      </w:pPr>
      <w:r>
        <w:rPr>
          <w:u w:val="single"/>
        </w:rPr>
        <w:t xml:space="preserve">EFFECT:</w:t>
      </w:r>
      <w:r>
        <w:rPr/>
        <w:t xml:space="preserve"> Removes the tiered tax remittance rates for using various labor standards on clean energy projects.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eb5c23604e4b6e" /></Relationships>
</file>