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ab7eb2764428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S2657.1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15, line 17, strike all of section 2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"offenders;"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 of the title, after "9.94A.030" strike all material through "date" on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requiring offenders be resentenced if Robbery 2 was used as a basis for finding the offender was a persistent offender prior to the effective date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6fd3d05b4feb" /></Relationships>
</file>