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713eed760a4438c" /></Relationships>
</file>

<file path=word/document.xml><?xml version="1.0" encoding="utf-8"?>
<w:document xmlns:w="http://schemas.openxmlformats.org/wordprocessingml/2006/main">
  <w:body>
    <w:p>
      <w:r>
        <w:rPr>
          <w:b/>
        </w:rPr>
        <w:r>
          <w:rPr/>
          <w:t xml:space="preserve">5290-S2</w:t>
        </w:r>
      </w:r>
      <w:r>
        <w:rPr>
          <w:b/>
        </w:rPr>
        <w:t xml:space="preserve"> </w:t>
        <w:t xml:space="preserve">AMS</w:t>
      </w:r>
      <w:r>
        <w:rPr>
          <w:b/>
        </w:rPr>
        <w:t xml:space="preserve"> </w:t>
        <w:r>
          <w:rPr/>
          <w:t xml:space="preserve">BRAU</w:t>
        </w:r>
      </w:r>
      <w:r>
        <w:rPr>
          <w:b/>
        </w:rPr>
        <w:t xml:space="preserve"> </w:t>
        <w:r>
          <w:rPr/>
          <w:t xml:space="preserve">S2567.1</w:t>
        </w:r>
      </w:r>
      <w:r>
        <w:rPr>
          <w:b/>
        </w:rPr>
        <w:t xml:space="preserve"> - NOT FOR FLOOR USE</w:t>
      </w:r>
    </w:p>
    <w:p>
      <w:pPr>
        <w:ind w:left="0" w:right="0" w:firstLine="576"/>
      </w:pPr>
    </w:p>
    <w:p>
      <w:pPr>
        <w:spacing w:before="480" w:after="0" w:line="408" w:lineRule="exact"/>
      </w:pPr>
      <w:r>
        <w:rPr>
          <w:b/>
          <w:u w:val="single"/>
        </w:rPr>
        <w:t xml:space="preserve">2SSB 5290</w:t>
      </w:r>
      <w:r>
        <w:t xml:space="preserve"> -</w:t>
      </w:r>
      <w:r>
        <w:t xml:space="preserve"> </w:t>
        <w:t xml:space="preserve">S AMD</w:t>
      </w:r>
      <w:r>
        <w:t xml:space="preserve"> </w:t>
      </w:r>
      <w:r>
        <w:rPr>
          <w:b/>
        </w:rPr>
        <w:t xml:space="preserve">185</w:t>
      </w:r>
    </w:p>
    <w:p>
      <w:pPr>
        <w:spacing w:before="0" w:after="0" w:line="408" w:lineRule="exact"/>
        <w:ind w:left="0" w:right="0" w:firstLine="576"/>
        <w:jc w:val="left"/>
      </w:pPr>
      <w:r>
        <w:rPr/>
        <w:t xml:space="preserve">By Senator Braun</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a goal of our state to divert juveniles who have committed status offenses, behaviors that are prohibited under law only because of an individual's status as a minor, away from the juvenile justice system because a stay in detention is a predictive factor for future criminal justice system involvement. The legislature finds that use of the valid court order exception to detain youth for acts like truancy, breaking curfew, or running away from home is counterproductive and may worsen outcomes for at-risk youth.</w:t>
      </w:r>
    </w:p>
    <w:p>
      <w:pPr>
        <w:spacing w:before="0" w:after="0" w:line="408" w:lineRule="exact"/>
        <w:ind w:left="0" w:right="0" w:firstLine="576"/>
        <w:jc w:val="left"/>
      </w:pPr>
      <w:r>
        <w:rPr/>
        <w:t xml:space="preserve">(2) The legislature further finds that these youth should not be confined with or treated with the same interventions as criminal offenders. The legislature also finds that studies show a disproportionality in race, gender, and socioeconomic status of youth referred to courts or detained, or both. Likewise, the legislature finds that community-based interventions are more effective at addressing underlying causes of status offenses than detention and can reduce court caseloads and lower system costs. As a result, it is the intent of the legislature to strengthen and fund community-based programs that are culturally relevant and focus on addressing disproportionality of youth of color, especially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reduce the use of juvenile detention as a remedy for contempt of a valid court order for youth under chapters 13.34 and 28A.225 RCW and child in need of services petition youth under chapter 13.32A RCW. As of July 1, 2019, such youth may not be committed to juvenile detention as a contempt sanction under chapter 13.32A, 13.34, or 28A.225 RCW, and a warrant may not be issued for such youth for failure to appear at a court hearing that requires commitment of such youth to juvenile detention other than pursuant to RCW 13.32A.250(3)(b).</w:t>
      </w:r>
    </w:p>
    <w:p>
      <w:pPr>
        <w:spacing w:before="0" w:after="0" w:line="408" w:lineRule="exact"/>
        <w:ind w:left="0" w:right="0" w:firstLine="576"/>
        <w:jc w:val="left"/>
      </w:pPr>
      <w:r>
        <w:rPr/>
        <w:t xml:space="preserve">(2)(a) It is also the policy of the state of Washington to reduce the use of juvenile detention as a remedy for contempt of a valid court order for at-risk youth under chapter 13.32A RCW by July 1, 2021. After this date, at-risk youth may not be committed to juvenile detention as a contempt sanction under chapter 13.32A RCW, and a warrant may not be issued for failure to appear at a court hearing that requires commitment of the at-risk youth to juvenile detention other than pursuant to RCW 13.32A.250(3)(b).</w:t>
      </w:r>
    </w:p>
    <w:p>
      <w:pPr>
        <w:spacing w:before="0" w:after="0" w:line="408" w:lineRule="exact"/>
        <w:ind w:left="0" w:right="0" w:firstLine="576"/>
        <w:jc w:val="left"/>
      </w:pPr>
      <w:r>
        <w:rPr/>
        <w:t xml:space="preserve">(b) Any at-risk youth committed to juvenile detention as a sanction for contempt under chapter 13.32A RCW, or for failure to appear at a court hearing under chapter 13.32A RCW, must be detained in such a manner so that no direct communication or physical contact may be made between the youth and any youth who is detained to juvenile detention pursuant to a violation of criminal law, unless these separation requirements would result in a youth being detained in solitary confinement.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 </w:t>
      </w:r>
      <w:r>
        <w:t>((</w:t>
      </w:r>
      <w:r>
        <w:rPr>
          <w:strike/>
        </w:rPr>
        <w:t xml:space="preserve">In cases</w:t>
      </w:r>
      <w:r>
        <w:t>))</w:t>
      </w:r>
      <w:r>
        <w:rPr/>
        <w:t xml:space="preserve"> </w:t>
      </w:r>
      <w:r>
        <w:rPr>
          <w:u w:val="single"/>
        </w:rPr>
        <w:t xml:space="preserve">U</w:t>
      </w:r>
      <w:r>
        <w:rPr/>
        <w:t xml:space="preserve">nder chapters 13.32A, 13.34, and 28A.225 RCW </w:t>
      </w:r>
      <w:r>
        <w:rPr>
          <w:u w:val="single"/>
        </w:rPr>
        <w:t xml:space="preserve">and subject to the requirements under RCW 13.32A.250(3)(b)</w:t>
      </w:r>
      <w:r>
        <w:rPr/>
        <w:t xml:space="preserve">, commitment to juvenile detention for a period of time not to exceed </w:t>
      </w:r>
      <w:r>
        <w:t>((</w:t>
      </w:r>
      <w:r>
        <w:rPr>
          <w:strike/>
        </w:rPr>
        <w:t xml:space="preserve">seven days</w:t>
      </w:r>
      <w:r>
        <w:t>))</w:t>
      </w:r>
      <w:r>
        <w:rPr/>
        <w:t xml:space="preserve"> </w:t>
      </w:r>
      <w:r>
        <w:rPr>
          <w:u w:val="single"/>
        </w:rPr>
        <w:t xml:space="preserve">seventy-two hours, excluding Saturdays, Sundays, and holidays. The seventy-two hour period shall commence upon the next nonholiday weekday following the court order and shall run to the end of the last nonholiday weekday within the seventy-two hour period</w:t>
      </w:r>
      <w:r>
        <w:rPr/>
        <w:t xml:space="preserve">. This sanction may be imposed in addition to, or as an alternative to, any other remedial sanction authorized by this chapter. This remedy is specifically determined to be a remedial sanction. </w:t>
      </w:r>
      <w:r>
        <w:rPr>
          <w:u w:val="single"/>
        </w:rPr>
        <w:t xml:space="preserve">All such remedial sanctions may not be imposed more than four times during a thirty-day period.</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2000 c 162 s 14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w:t>
      </w:r>
      <w:r>
        <w:rPr>
          <w:u w:val="single"/>
        </w:rPr>
        <w:t xml:space="preserve">in an at-risk youth proceeding</w:t>
      </w:r>
      <w:r>
        <w:rPr/>
        <w:t xml:space="preserve">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w:t>
      </w:r>
      <w:r>
        <w:rPr>
          <w:u w:val="single"/>
        </w:rPr>
        <w:t xml:space="preserve">For at-risk youth proceedings only:</w:t>
      </w:r>
    </w:p>
    <w:p>
      <w:pPr>
        <w:spacing w:before="0" w:after="0" w:line="408" w:lineRule="exact"/>
        <w:ind w:left="0" w:right="0" w:firstLine="576"/>
        <w:jc w:val="left"/>
      </w:pPr>
      <w:r>
        <w:rPr>
          <w:u w:val="single"/>
        </w:rPr>
        <w:t xml:space="preserve">(a) If the child fails to comply with the court order, the court may 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Nonresidential programs with intensive wraparound services;</w:t>
      </w:r>
    </w:p>
    <w:p>
      <w:pPr>
        <w:spacing w:before="0" w:after="0" w:line="408" w:lineRule="exact"/>
        <w:ind w:left="0" w:right="0" w:firstLine="576"/>
        <w:jc w:val="left"/>
      </w:pPr>
      <w:r>
        <w:rPr>
          <w:u w:val="single"/>
        </w:rPr>
        <w:t xml:space="preserve">(iii) A requirement that the child meet with a mentor for a specified number of times; or</w:t>
      </w:r>
    </w:p>
    <w:p>
      <w:pPr>
        <w:spacing w:before="0" w:after="0" w:line="408" w:lineRule="exact"/>
        <w:ind w:left="0" w:right="0" w:firstLine="576"/>
        <w:jc w:val="left"/>
      </w:pPr>
      <w:r>
        <w:rPr>
          <w:u w:val="single"/>
        </w:rPr>
        <w:t xml:space="preserve">(iv) Other services and interventions that the court deems appropriate.</w:t>
      </w:r>
    </w:p>
    <w:p>
      <w:pPr>
        <w:spacing w:before="0" w:after="0" w:line="408" w:lineRule="exact"/>
        <w:ind w:left="0" w:right="0" w:firstLine="576"/>
        <w:jc w:val="left"/>
      </w:pPr>
      <w:r>
        <w:rPr>
          <w:u w:val="single"/>
        </w:rPr>
        <w:t xml:space="preserve">(b)</w:t>
      </w:r>
      <w:r>
        <w:rPr/>
        <w:t xml:space="preserve"> The court may impose remedial sanctions including a fine of up to one hundred dollars and confinement for up to </w:t>
      </w:r>
      <w:r>
        <w:t>((</w:t>
      </w:r>
      <w:r>
        <w:rPr>
          <w:strike/>
        </w:rPr>
        <w:t xml:space="preserve">seven days</w:t>
      </w:r>
      <w:r>
        <w:t>))</w:t>
      </w:r>
      <w:r>
        <w:rPr/>
        <w:t xml:space="preserve"> </w:t>
      </w:r>
      <w:r>
        <w:rPr>
          <w:u w:val="single"/>
        </w:rPr>
        <w:t xml:space="preserve">seventy-two hours</w:t>
      </w:r>
      <w:r>
        <w:rPr/>
        <w:t xml:space="preserve">, or both for contempt of court under this section </w:t>
      </w:r>
      <w:r>
        <w:rPr>
          <w:u w:val="single"/>
        </w:rPr>
        <w:t xml:space="preserve">upon issuing formal written findings that it: (i) Considered, on the record, the mitigating and aggravating factors used to determine the appropriateness of detention for enforcement of its order; (ii) affirmed that it considered all less restrictive options, that detention is the only appropriate alternative, including its rationale and the clear, cogent, and convincing evidence used to enforce the order; (iii) afforded the same due process considerations that it affords all youth in a criminal contempt proceeding; and (iv) sought input from all relevant parties, including the youth. The seventy-two hour period excludes Saturdays, Sundays, and holidays and shall commence upon the next nonholiday weekday following the court order and shall run to the end of the last nonholiday weekday within the seventy-two hour period. The court may impose no more than four such seventy-two hour periods in a thirty-day period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(c)</w:t>
      </w:r>
      <w:r>
        <w:rPr/>
        <w:t xml:space="preserve"> A child placed in confinement for contempt under this section shall be placed in confinement only in a secure juvenile detention facility operated by or pursuant to a contract with a county.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(5) For at-risk youth proceedings only, w</w:t>
      </w:r>
      <w:r>
        <w:rPr/>
        <w:t xml:space="preserve">henever the court finds probable cause to believe, based upon consideration of a motion for contempt and the information set forth in a supporting declaration, that a child has violated a placement order entered under this chapter, the court </w:t>
      </w:r>
      <w:r>
        <w:rPr>
          <w:u w:val="single"/>
        </w:rPr>
        <w:t xml:space="preserve">must direct the court clerk to command the presence of the child by the issuance of a summons or other method approved by local court rule instead of a warrant, unless the court finds probable cause to believe that the child would not appear in response to the command or finds probable cause to believe that the arrest is necessary to prevent serious bodily harm to the juvenile or another, in which case the court may issue a warrant. A warrant of arrest must be supported by an affidavit or sworn testimony, which must be recorded electronically or by stenographer, establishing the grounds for issuing the warrant. The warrant of arrest for a child under this subsection may not be served on a child inside of school during school hours in a location where other students are present if the child named in the warrant is a pupil at the school. The court must communicate the summons to the child through mail, telephone, text message, or other method of communication needed in order to ensure the child has received the information. If the child fails to appear via the summons or other method, the court</w:t>
      </w:r>
      <w:r>
        <w:rPr/>
        <w:t xml:space="preserve"> may issue an order directing law enforcement to pick up and take the child to detention.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040</w:t>
      </w:r>
      <w:r>
        <w:rPr/>
        <w:t xml:space="preserve"> and 2000 c 123 s 3 are each amended to read as follows:</w:t>
      </w:r>
    </w:p>
    <w:p>
      <w:pPr>
        <w:spacing w:before="0" w:after="0" w:line="408" w:lineRule="exact"/>
        <w:ind w:left="0" w:right="0" w:firstLine="576"/>
        <w:jc w:val="left"/>
      </w:pPr>
      <w:r>
        <w:rPr>
          <w:u w:val="single"/>
        </w:rPr>
        <w:t xml:space="preserve">(1) If requested by the family, the department must provide f</w:t>
      </w:r>
      <w:r>
        <w:rPr/>
        <w:t xml:space="preserve">amilies who are in conflict or who are experiencing problems with at-risk youth or a child who may be in need of services </w:t>
      </w:r>
      <w:r>
        <w:t>((</w:t>
      </w:r>
      <w:r>
        <w:rPr>
          <w:strike/>
        </w:rPr>
        <w:t xml:space="preserve">may request</w:t>
      </w:r>
      <w:r>
        <w:t>))</w:t>
      </w:r>
      <w:r>
        <w:rPr/>
        <w:t xml:space="preserve"> </w:t>
      </w:r>
      <w:r>
        <w:rPr>
          <w:u w:val="single"/>
        </w:rPr>
        <w:t xml:space="preserve">with</w:t>
      </w:r>
      <w:r>
        <w:rPr/>
        <w:t xml:space="preserve"> family reconciliation services</w:t>
      </w:r>
      <w:r>
        <w:rPr>
          <w:u w:val="single"/>
        </w:rPr>
        <w:t xml:space="preserve">, or its successor program,</w:t>
      </w:r>
      <w:r>
        <w:rPr/>
        <w:t xml:space="preserve"> from the department </w:t>
      </w:r>
      <w:r>
        <w:rPr>
          <w:u w:val="single"/>
        </w:rPr>
        <w:t xml:space="preserve">before or once a petition is filed. The department should provide these services in a timely manner once requested by the family</w:t>
      </w:r>
      <w:r>
        <w:rPr/>
        <w:t xml:space="preserve">. The department may involve a local multidisciplinary team in its response in determining the services to be provided and in providing those services. Such services shall be provided to alleviate personal or family situations which present a serious and imminent threat to the health or stability of the child or family and to maintain families intact wherever possible. Family reconciliation services shall be designed to develop skills and supports within families to resolve problems related to at-risk youth, children in need of services, or family conflicts. These services may include</w:t>
      </w:r>
      <w:r>
        <w:rPr>
          <w:u w:val="single"/>
        </w:rPr>
        <w:t xml:space="preserve">,</w:t>
      </w:r>
      <w:r>
        <w:rPr/>
        <w:t xml:space="preserve"> but are not limited to</w:t>
      </w:r>
      <w:r>
        <w:rPr>
          <w:u w:val="single"/>
        </w:rPr>
        <w:t xml:space="preserve">,</w:t>
      </w:r>
      <w:r>
        <w:rPr/>
        <w:t xml:space="preserve"> referral to services for suicide prevention, psychiatric or other medical care, or psychological, mental health, drug or alcohol treatment, welfare, legal, educational, or other social services, as appropriate to the needs of the child and the family, and training in parenting, conflict management, and dispute resolution skills.</w:t>
      </w:r>
    </w:p>
    <w:p>
      <w:pPr>
        <w:spacing w:before="0" w:after="0" w:line="408" w:lineRule="exact"/>
        <w:ind w:left="0" w:right="0" w:firstLine="576"/>
        <w:jc w:val="left"/>
      </w:pPr>
      <w:r>
        <w:rPr>
          <w:u w:val="single"/>
        </w:rPr>
        <w:t xml:space="preserve">(2) The department must report to the appropriate committees of the legislature annually, beginning by December 31, 2019, on the use of family reconciliation services or its successor program, any significant reductions or outcomes within the program, and any recommendations for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2000 c 123 s 17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 </w:t>
      </w:r>
      <w:r>
        <w:t>((</w:t>
      </w:r>
      <w:r>
        <w:rPr>
          <w:strike/>
        </w:rPr>
        <w:t xml:space="preserve">If the department is unable to complete an assessment within two working days following a request for assessment the child or the parents may proceed under subsection (2) of this section or the parent may proceed under RCW 13.32A.191.</w:t>
      </w:r>
      <w:r>
        <w:t>))</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w:t>
      </w:r>
      <w:r>
        <w:rPr>
          <w:u w:val="single"/>
        </w:rPr>
        <w:t xml:space="preserve">before completion of a family assessment</w:t>
      </w:r>
      <w:r>
        <w:rPr/>
        <w:t xml:space="preserve">. The department shall, when requested, assist either a parent or child in the filing of the petition. The petition must be filed in the county where the parent resides. The petition shall allege that the child is a child in need of services and shall ask only that the placement of a child outside the home of his or her parent be approved.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165</w:t>
      </w:r>
      <w:r>
        <w:rPr/>
        <w:t xml:space="preserve"> and 2000 c 122 s 21 are each amended to read as follows:</w:t>
      </w:r>
    </w:p>
    <w:p>
      <w:pPr>
        <w:spacing w:before="0" w:after="0" w:line="408" w:lineRule="exact"/>
        <w:ind w:left="0" w:right="0" w:firstLine="576"/>
        <w:jc w:val="left"/>
      </w:pPr>
      <w:r>
        <w:rPr/>
        <w:t xml:space="preserve">(1) Failure by a party to comply with an order entered under this chapter is civil contempt of court as provided in RCW 7.21.030(2)</w:t>
      </w:r>
      <w:r>
        <w:t>((</w:t>
      </w:r>
      <w:r>
        <w:rPr>
          <w:strike/>
        </w:rPr>
        <w:t xml:space="preserve">(e)</w:t>
      </w:r>
      <w:r>
        <w:t>))</w:t>
      </w:r>
      <w:r>
        <w:rPr/>
        <w:t xml:space="preserve">.</w:t>
      </w:r>
    </w:p>
    <w:p>
      <w:pPr>
        <w:spacing w:before="0" w:after="0" w:line="408" w:lineRule="exact"/>
        <w:ind w:left="0" w:right="0" w:firstLine="576"/>
        <w:jc w:val="left"/>
      </w:pPr>
      <w:r>
        <w:rPr/>
        <w:t xml:space="preserve">(2) </w:t>
      </w:r>
      <w:r>
        <w:t>((</w:t>
      </w:r>
      <w:r>
        <w:rPr>
          <w:strike/>
        </w:rPr>
        <w:t xml:space="preserve">The maximum term of confinement that may be imposed as a remedial sanction for contempt of court under this section is confinement for up to seven days.</w:t>
      </w:r>
    </w:p>
    <w:p>
      <w:pPr>
        <w:spacing w:before="0" w:after="0" w:line="408" w:lineRule="exact"/>
        <w:ind w:left="0" w:right="0" w:firstLine="576"/>
        <w:jc w:val="left"/>
      </w:pPr>
      <w:r>
        <w:rPr>
          <w:strike/>
        </w:rPr>
        <w:t xml:space="preserve">(3) A child held for contempt under this section shall be confined only in a secure juvenile detention facility operated by or pursuant to a contract with a county.</w:t>
      </w:r>
    </w:p>
    <w:p>
      <w:pPr>
        <w:spacing w:before="0" w:after="0" w:line="408" w:lineRule="exact"/>
        <w:ind w:left="0" w:right="0" w:firstLine="576"/>
        <w:jc w:val="left"/>
      </w:pPr>
      <w:r>
        <w:rPr>
          <w:strike/>
        </w:rPr>
        <w:t xml:space="preserve">(4)</w:t>
      </w:r>
      <w:r>
        <w:t>))</w:t>
      </w:r>
      <w:r>
        <w:rPr/>
        <w:t xml:space="preserve"> A motion for contempt may be made by a parent, juvenile court personnel, or by any public agency, organization, or person having custody of the child under a court order entered pursuant to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(3)(a) Subject to (b) of this subsection, w</w:t>
      </w:r>
      <w:r>
        <w:rPr/>
        <w:t xml:space="preserve">henever the court finds probable cause to believe, based upon consideration of a motion </w:t>
      </w:r>
      <w:r>
        <w:t>((</w:t>
      </w:r>
      <w:r>
        <w:rPr>
          <w:strike/>
        </w:rPr>
        <w:t xml:space="preserve">for contempt</w:t>
      </w:r>
      <w:r>
        <w:t>))</w:t>
      </w:r>
      <w:r>
        <w:rPr/>
        <w:t xml:space="preserve"> and the information set forth in a supporting declaration, that a child </w:t>
      </w:r>
      <w:r>
        <w:t>((</w:t>
      </w:r>
      <w:r>
        <w:rPr>
          <w:strike/>
        </w:rPr>
        <w:t xml:space="preserve">has violated a placement order entered under this chapter</w:t>
      </w:r>
      <w:r>
        <w:t>))</w:t>
      </w:r>
      <w:r>
        <w:rPr/>
        <w:t xml:space="preserve"> </w:t>
      </w:r>
      <w:r>
        <w:rPr>
          <w:u w:val="single"/>
        </w:rPr>
        <w:t xml:space="preserve">is missing from care</w:t>
      </w:r>
      <w:r>
        <w:rPr/>
        <w:t xml:space="preserve">, the court may issue an order directing law enforcement to pick up and </w:t>
      </w:r>
      <w:r>
        <w:t>((</w:t>
      </w:r>
      <w:r>
        <w:rPr>
          <w:strike/>
        </w:rPr>
        <w:t xml:space="preserve">take</w:t>
      </w:r>
      <w:r>
        <w:t>))</w:t>
      </w:r>
      <w:r>
        <w:rPr/>
        <w:t xml:space="preserve"> </w:t>
      </w:r>
      <w:r>
        <w:rPr>
          <w:u w:val="single"/>
        </w:rPr>
        <w:t xml:space="preserve">return</w:t>
      </w:r>
      <w:r>
        <w:rPr/>
        <w:t xml:space="preserve"> the child to </w:t>
      </w:r>
      <w:r>
        <w:t>((</w:t>
      </w:r>
      <w:r>
        <w:rPr>
          <w:strike/>
        </w:rPr>
        <w:t xml:space="preserve">detention</w:t>
      </w:r>
      <w:r>
        <w:t>))</w:t>
      </w:r>
      <w:r>
        <w:rPr/>
        <w:t xml:space="preserve"> </w:t>
      </w:r>
      <w:r>
        <w:rPr>
          <w:u w:val="single"/>
        </w:rPr>
        <w:t xml:space="preserve">department custody</w:t>
      </w:r>
      <w:r>
        <w:rPr/>
        <w:t xml:space="preserve">.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0" w:after="0" w:line="408" w:lineRule="exact"/>
        <w:ind w:left="0" w:right="0" w:firstLine="576"/>
        <w:jc w:val="left"/>
      </w:pPr>
      <w:r>
        <w:rPr>
          <w:u w:val="single"/>
        </w:rPr>
        <w:t xml:space="preserve">(b) If the department is notified of the child's whereabouts and authorizes the child's location, the court must withdraw the order directing law enforcement to pick up and return the child to department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w:t>
      </w:r>
      <w:r>
        <w:t>((</w:t>
      </w:r>
      <w:r>
        <w:rPr>
          <w:strike/>
        </w:rPr>
        <w:t xml:space="preserve">(a)</w:t>
      </w:r>
      <w:r>
        <w:t>))</w:t>
      </w:r>
      <w:r>
        <w:rPr/>
        <w:t xml:space="preserve"> If the child fails to comply with the court order, the court may impose: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Community restitution;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Nonresidential programs with intensive wraparound services;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requirement that the child meet with a mentor for a specified number of times; </w:t>
      </w:r>
      <w:r>
        <w:t>((</w:t>
      </w:r>
      <w:r>
        <w:rPr>
          <w:strike/>
        </w:rPr>
        <w:t xml:space="preserve">or</w:t>
      </w:r>
    </w:p>
    <w:p>
      <w:pPr>
        <w:spacing w:before="0" w:after="0" w:line="408" w:lineRule="exact"/>
        <w:ind w:left="0" w:right="0" w:firstLine="576"/>
        <w:jc w:val="left"/>
      </w:pPr>
      <w:r>
        <w:rPr>
          <w:strike/>
        </w:rPr>
        <w:t xml:space="preserve">(iv)</w:t>
      </w:r>
      <w:r>
        <w:t>))</w:t>
      </w:r>
      <w:r>
        <w:rPr/>
        <w:t xml:space="preserve"> </w:t>
      </w:r>
      <w:r>
        <w:rPr>
          <w:u w:val="single"/>
        </w:rPr>
        <w:t xml:space="preserve">(d)</w:t>
      </w:r>
      <w:r>
        <w:rPr/>
        <w:t xml:space="preserve"> Other services and interventions that the court deems appropriate</w:t>
      </w:r>
      <w:r>
        <w:rPr>
          <w:u w:val="single"/>
        </w:rPr>
        <w:t xml:space="preserve">; or</w:t>
      </w:r>
    </w:p>
    <w:p>
      <w:pPr>
        <w:spacing w:before="0" w:after="0" w:line="408" w:lineRule="exact"/>
        <w:ind w:left="0" w:right="0" w:firstLine="576"/>
        <w:jc w:val="left"/>
      </w:pPr>
      <w:r>
        <w:rPr>
          <w:u w:val="single"/>
        </w:rPr>
        <w:t xml:space="preserve">(e) The remedial sanctions pursuant to RCW 13.32A.250(3)(d)</w:t>
      </w:r>
      <w:r>
        <w:rPr/>
        <w:t xml:space="preserve">.</w:t>
      </w:r>
    </w:p>
    <w:p>
      <w:pPr>
        <w:spacing w:before="0" w:after="0" w:line="408" w:lineRule="exact"/>
        <w:ind w:left="0" w:right="0" w:firstLine="576"/>
        <w:jc w:val="left"/>
      </w:pPr>
      <w:r>
        <w:t>((</w:t>
      </w:r>
      <w:r>
        <w:rPr>
          <w:strike/>
        </w:rPr>
        <w:t xml:space="preserve">(b) If the child continues to fail to comply with the court order and the court makes a finding that other measures to secure compliance have been tried but have been unsuccessful and no less restrictive alternative is available, the court may order the child to be subject to detention, as provided in RCW 7.21.030(2)(e).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r>
        <w: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t xml:space="preserve"> </w:t>
      </w:r>
      <w:r>
        <w:rPr>
          <w:u w:val="single"/>
        </w:rPr>
        <w:t xml:space="preserve">consistent with best practice models for reengagement with school</w:t>
      </w:r>
      <w:r>
        <w:rPr/>
        <w:t xml:space="preserve">.</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2018 c 58 s 61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r>
        <w:t>((</w:t>
      </w:r>
      <w:r>
        <w:rPr>
          <w:strike/>
        </w:rPr>
        <w:t xml:space="preserve">; or</w:t>
      </w:r>
    </w:p>
    <w:p>
      <w:pPr>
        <w:spacing w:before="0" w:after="0" w:line="408" w:lineRule="exact"/>
        <w:ind w:left="0" w:right="0" w:firstLine="576"/>
        <w:jc w:val="left"/>
      </w:pPr>
      <w:r>
        <w:rPr>
          <w:strike/>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r>
        <w:t>))</w:t>
      </w:r>
      <w:r>
        <w:rPr/>
        <w:t xml:space="preserve">.</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265</w:t>
      </w:r>
      <w:r>
        <w:rPr/>
        <w:t xml:space="preserve"> and 2015 c 69 s 14 are each amended to read as follows:</w:t>
      </w:r>
    </w:p>
    <w:p>
      <w:pPr>
        <w:spacing w:before="0" w:after="0" w:line="408" w:lineRule="exact"/>
        <w:ind w:left="0" w:right="0" w:firstLine="576"/>
        <w:jc w:val="left"/>
      </w:pPr>
      <w:r>
        <w:rPr/>
        <w:t xml:space="preserve">(1) An officer taking a child into custody under RCW 43.185C.260(1) (a) or (b)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of </w:t>
      </w:r>
      <w:r>
        <w:t>((</w:t>
      </w:r>
      <w:r>
        <w:rPr>
          <w:strike/>
        </w:rPr>
        <w:t xml:space="preserve">social and health services</w:t>
      </w:r>
      <w:r>
        <w:t>))</w:t>
      </w:r>
      <w:r>
        <w:rPr/>
        <w:t xml:space="preserve"> </w:t>
      </w:r>
      <w:r>
        <w:rPr>
          <w:u w:val="single"/>
        </w:rPr>
        <w:t xml:space="preserve">children, youth, and families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of </w:t>
      </w:r>
      <w:r>
        <w:t>((</w:t>
      </w:r>
      <w:r>
        <w:rPr>
          <w:strike/>
        </w:rPr>
        <w:t xml:space="preserve">social and health services</w:t>
      </w:r>
      <w:r>
        <w:t>))</w:t>
      </w:r>
      <w:r>
        <w:rPr/>
        <w:t xml:space="preserve"> </w:t>
      </w:r>
      <w:r>
        <w:rPr>
          <w:u w:val="single"/>
        </w:rPr>
        <w:t xml:space="preserve">children, youth, and families</w:t>
      </w:r>
      <w:r>
        <w:rPr/>
        <w:t xml:space="preserve"> to accept custody of the child. If the department of </w:t>
      </w:r>
      <w:r>
        <w:t>((</w:t>
      </w:r>
      <w:r>
        <w:rPr>
          <w:strike/>
        </w:rPr>
        <w:t xml:space="preserve">social and health services</w:t>
      </w:r>
      <w:r>
        <w:t>))</w:t>
      </w:r>
      <w:r>
        <w:rPr/>
        <w:t xml:space="preserve"> </w:t>
      </w:r>
      <w:r>
        <w:rPr>
          <w:u w:val="single"/>
        </w:rPr>
        <w:t xml:space="preserve">children, youth, and families</w:t>
      </w:r>
      <w:r>
        <w:rPr/>
        <w:t xml:space="preserve"> determines that an appropriate placement is currently available, the department of </w:t>
      </w:r>
      <w:r>
        <w:t>((</w:t>
      </w:r>
      <w:r>
        <w:rPr>
          <w:strike/>
        </w:rPr>
        <w:t xml:space="preserve">social and health services</w:t>
      </w:r>
      <w:r>
        <w:t>))</w:t>
      </w:r>
      <w:r>
        <w:rPr/>
        <w:t xml:space="preserve"> </w:t>
      </w:r>
      <w:r>
        <w:rPr>
          <w:u w:val="single"/>
        </w:rPr>
        <w:t xml:space="preserve">children, youth, and families</w:t>
      </w:r>
      <w:r>
        <w:rPr/>
        <w:t xml:space="preserve"> shall accept custody and place the child in an out-of-home placement. Upon accepting custody of a child from the officer, the department of </w:t>
      </w:r>
      <w:r>
        <w:t>((</w:t>
      </w:r>
      <w:r>
        <w:rPr>
          <w:strike/>
        </w:rPr>
        <w:t xml:space="preserve">social and health services</w:t>
      </w:r>
      <w:r>
        <w:t>))</w:t>
      </w:r>
      <w:r>
        <w:rPr/>
        <w:t xml:space="preserve"> </w:t>
      </w:r>
      <w:r>
        <w:rPr>
          <w:u w:val="single"/>
        </w:rPr>
        <w:t xml:space="preserve">children, youth, and families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 of </w:t>
      </w:r>
      <w:r>
        <w:t>((</w:t>
      </w:r>
      <w:r>
        <w:rPr>
          <w:strike/>
        </w:rPr>
        <w:t xml:space="preserve">social and health services'</w:t>
      </w:r>
      <w:r>
        <w:t>))</w:t>
      </w:r>
      <w:r>
        <w:rPr/>
        <w:t xml:space="preserve"> </w:t>
      </w:r>
      <w:r>
        <w:rPr>
          <w:u w:val="single"/>
        </w:rPr>
        <w:t xml:space="preserve">children, youth, and families'</w:t>
      </w:r>
      <w:r>
        <w:rPr/>
        <w:t xml:space="preserve"> custody, the officer shall provide written documentation of the reasons and the statutory basis for taking the child into custody. If the department of </w:t>
      </w:r>
      <w:r>
        <w:t>((</w:t>
      </w:r>
      <w:r>
        <w:rPr>
          <w:strike/>
        </w:rPr>
        <w:t xml:space="preserve">social and health services</w:t>
      </w:r>
      <w:r>
        <w:t>))</w:t>
      </w:r>
      <w:r>
        <w:rPr/>
        <w:t xml:space="preserve"> </w:t>
      </w:r>
      <w:r>
        <w:rPr>
          <w:u w:val="single"/>
        </w:rPr>
        <w:t xml:space="preserve">children, youth, and families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of </w:t>
      </w:r>
      <w:r>
        <w:t>((</w:t>
      </w:r>
      <w:r>
        <w:rPr>
          <w:strike/>
        </w:rPr>
        <w:t xml:space="preserve">social and health services</w:t>
      </w:r>
      <w:r>
        <w:t>))</w:t>
      </w:r>
      <w:r>
        <w:rPr/>
        <w:t xml:space="preserve"> </w:t>
      </w:r>
      <w:r>
        <w:rPr>
          <w:u w:val="single"/>
        </w:rPr>
        <w:t xml:space="preserve">children, youth, and families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43.185C.260(1)(c) </w:t>
      </w:r>
      <w:r>
        <w:t>((</w:t>
      </w:r>
      <w:r>
        <w:rPr>
          <w:strike/>
        </w:rPr>
        <w:t xml:space="preserve">or (d)</w:t>
      </w:r>
      <w:r>
        <w:t>))</w:t>
      </w:r>
      <w:r>
        <w:rPr/>
        <w:t xml:space="preserve"> shall inform the child of the reason for custody. An officer taking a child into custody under RCW 43.185C.260(1)(c) may release the child to the supervising agency, </w:t>
      </w:r>
      <w:r>
        <w:rPr>
          <w:u w:val="single"/>
        </w:rPr>
        <w:t xml:space="preserve">may return the child to the placement authorized by the supervising agency,</w:t>
      </w:r>
      <w:r>
        <w:rPr/>
        <w:t xml:space="preserve"> or shall take the child to a designated crisis residential </w:t>
      </w:r>
      <w:r>
        <w:t>((</w:t>
      </w:r>
      <w:r>
        <w:rPr>
          <w:strike/>
        </w:rPr>
        <w:t xml:space="preserve">center's secure facility. If the secure facility is not available, not located within a reasonable distance, or full, the officer shall take the child to a semi-secure crisis residential center. An officer taking a child into custody under RCW 43.185C.260(1)(d) may place the child in a juvenile detention facility as provided in RCW 43.185C.270 or a secure facility, except that the child shall be taken to detention whenever the officer has been notified that a juvenile court has entered a detention order under this chapter or chapter 13.34 RCW</w:t>
      </w:r>
      <w:r>
        <w:t>))</w:t>
      </w:r>
      <w:r>
        <w:rPr/>
        <w:t xml:space="preserve"> </w:t>
      </w:r>
      <w:r>
        <w:rPr>
          <w:u w:val="single"/>
        </w:rPr>
        <w:t xml:space="preserve">center</w:t>
      </w:r>
      <w:r>
        <w:rPr/>
        <w:t xml:space="preserve">.</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43.185C.290(6).</w:t>
      </w:r>
    </w:p>
    <w:p>
      <w:pPr>
        <w:spacing w:before="0" w:after="0" w:line="408" w:lineRule="exact"/>
        <w:ind w:left="0" w:right="0" w:firstLine="576"/>
        <w:jc w:val="left"/>
      </w:pPr>
      <w:r>
        <w:rPr/>
        <w:t xml:space="preserve">(4) Whenever an officer transfers custody of a child to a crisis residential center or the department of </w:t>
      </w:r>
      <w:r>
        <w:t>((</w:t>
      </w:r>
      <w:r>
        <w:rPr>
          <w:strike/>
        </w:rPr>
        <w:t xml:space="preserve">social and health services</w:t>
      </w:r>
      <w:r>
        <w:t>))</w:t>
      </w:r>
      <w:r>
        <w:rPr/>
        <w:t xml:space="preserve"> </w:t>
      </w:r>
      <w:r>
        <w:rPr>
          <w:u w:val="single"/>
        </w:rPr>
        <w:t xml:space="preserve">children, youth, and families</w:t>
      </w:r>
      <w:r>
        <w:rPr/>
        <w:t xml:space="preserve">, the child may reside in the crisis residential center or may be placed by the department of </w:t>
      </w:r>
      <w:r>
        <w:t>((</w:t>
      </w:r>
      <w:r>
        <w:rPr>
          <w:strike/>
        </w:rPr>
        <w:t xml:space="preserve">social and health services</w:t>
      </w:r>
      <w:r>
        <w:t>))</w:t>
      </w:r>
      <w:r>
        <w:rPr/>
        <w:t xml:space="preserve"> </w:t>
      </w:r>
      <w:r>
        <w:rPr>
          <w:u w:val="single"/>
        </w:rPr>
        <w:t xml:space="preserve">children, youth, and families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of </w:t>
      </w:r>
      <w:r>
        <w:t>((</w:t>
      </w:r>
      <w:r>
        <w:rPr>
          <w:strike/>
        </w:rPr>
        <w:t xml:space="preserve">social and health services</w:t>
      </w:r>
      <w:r>
        <w:t>))</w:t>
      </w:r>
      <w:r>
        <w:rPr/>
        <w:t xml:space="preserve"> </w:t>
      </w:r>
      <w:r>
        <w:rPr>
          <w:u w:val="single"/>
        </w:rPr>
        <w:t xml:space="preserve">children, youth, and families</w:t>
      </w:r>
      <w:r>
        <w:rPr/>
        <w:t xml:space="preserve"> shall ensure that all law enforcement authorities are informed on a regular basis as to the location of all designated secure and semi-secure facilities within centers in their jurisdiction, where children taken into custody under RCW 43.185C.260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2016 c 205 s 19 are each amended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w:t>
      </w:r>
      <w:r>
        <w:rPr>
          <w:u w:val="single"/>
        </w:rPr>
        <w:t xml:space="preserve">The administrative office of the courts shall ensure that the annual statewide report delivered to the legislature in 2021 provides sufficient information to measure the impacts of RCW 13.32A.250(3)(b) on reducing the use of juvenile detention as a remedy for contempt of a valid court order for youth referenced in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185C</w:t>
      </w:r>
      <w:r>
        <w:rPr/>
        <w:t xml:space="preserve">.</w:t>
      </w:r>
      <w:r>
        <w:t xml:space="preserve">270</w:t>
      </w:r>
      <w:r>
        <w:rPr/>
        <w:t xml:space="preserve"> (Youth services</w:t>
      </w:r>
      <w:r>
        <w:rPr>
          <w:rFonts w:ascii="Times New Roman" w:hAnsi="Times New Roman"/>
        </w:rPr>
        <w:t xml:space="preserve">—</w:t>
      </w:r>
      <w:r>
        <w:rPr/>
        <w:t xml:space="preserve">Officer taking child into custody</w:t>
      </w:r>
      <w:r>
        <w:rPr>
          <w:rFonts w:ascii="Times New Roman" w:hAnsi="Times New Roman"/>
        </w:rPr>
        <w:t xml:space="preserve">—</w:t>
      </w:r>
      <w:r>
        <w:rPr/>
        <w:t xml:space="preserve">Placing in detention</w:t>
      </w:r>
      <w:r>
        <w:rPr>
          <w:rFonts w:ascii="Times New Roman" w:hAnsi="Times New Roman"/>
        </w:rPr>
        <w:t xml:space="preserve">—</w:t>
      </w:r>
      <w:r>
        <w:rPr/>
        <w:t xml:space="preserve">Detention review hearing</w:t>
      </w:r>
      <w:r>
        <w:rPr>
          <w:rFonts w:ascii="Times New Roman" w:hAnsi="Times New Roman"/>
        </w:rPr>
        <w:t xml:space="preserve">—</w:t>
      </w:r>
      <w:r>
        <w:rPr/>
        <w:t xml:space="preserve">Hearing on contempt) and 2015 c 69 s 15; and</w:t>
      </w:r>
    </w:p>
    <w:p>
      <w:pPr>
        <w:spacing w:before="0" w:after="0" w:line="408" w:lineRule="exact"/>
        <w:ind w:left="0" w:right="0" w:firstLine="576"/>
        <w:jc w:val="left"/>
      </w:pPr>
      <w:r>
        <w:t>(2)</w:t>
      </w:r>
      <w:r>
        <w:rPr/>
        <w:t xml:space="preserve">1998 c 296 s 35</w:t>
      </w:r>
      <w:r>
        <w:rPr/>
        <w:t xml:space="preserve"> (uncodified)."</w:t>
      </w:r>
    </w:p>
    <w:p>
      <w:pPr>
        <w:spacing w:before="480" w:after="0" w:line="408" w:lineRule="exact"/>
      </w:pPr>
      <w:r>
        <w:rPr>
          <w:b/>
          <w:u w:val="single"/>
        </w:rPr>
        <w:t xml:space="preserve">2SSB 5290</w:t>
      </w:r>
      <w:r>
        <w:t xml:space="preserve"> -</w:t>
      </w:r>
      <w:r>
        <w:t xml:space="preserve"> </w:t>
        <w:t xml:space="preserve">S AMD</w:t>
      </w:r>
      <w:r>
        <w:t xml:space="preserve"> </w:t>
      </w:r>
      <w:r>
        <w:rPr>
          <w:b/>
        </w:rPr>
        <w:t xml:space="preserve">185</w:t>
      </w:r>
    </w:p>
    <w:p>
      <w:pPr>
        <w:spacing w:before="0" w:after="0" w:line="408" w:lineRule="exact"/>
        <w:ind w:left="0" w:right="0" w:firstLine="576"/>
        <w:jc w:val="left"/>
      </w:pPr>
      <w:r>
        <w:rPr/>
        <w:t xml:space="preserve">By Senator Braun</w:t>
      </w:r>
    </w:p>
    <w:p>
      <w:pPr>
        <w:jc w:val="right"/>
      </w:pPr>
      <w:r>
        <w:rPr>
          <w:b/>
        </w:rPr>
        <w:t xml:space="preserve">ADOPTED 03/12/2019</w:t>
      </w:r>
    </w:p>
    <w:p>
      <w:pPr>
        <w:spacing w:before="0" w:after="0" w:line="408" w:lineRule="exact"/>
        <w:ind w:left="0" w:right="0" w:firstLine="576"/>
        <w:jc w:val="left"/>
      </w:pPr>
      <w:r>
        <w:rPr/>
        <w:t xml:space="preserve">On page 1, line 2 of the title, after "behavior;" strike the remainder of the title and insert "amending RCW 7.21.030, 13.32A.250, 13.32A.040, 13.32A.150, 13.34.165, 28A.225.090, 43.185C.260, 43.185C.265, and 2.56.032; adding a new section to chapter 7.21 RCW; creating a new section; repealing RCW 43.185C.270; and repealing 1998 c 296 s 35 (uncodified)."</w:t>
      </w:r>
    </w:p>
    <w:p>
      <w:pPr>
        <w:spacing w:before="0" w:after="0" w:line="408" w:lineRule="exact"/>
        <w:ind w:left="0" w:right="0" w:firstLine="576"/>
        <w:jc w:val="left"/>
      </w:pPr>
      <w:r>
        <w:rPr>
          <w:u w:val="single"/>
        </w:rPr>
        <w:t xml:space="preserve">EFFECT:</w:t>
      </w:r>
      <w:r>
        <w:rPr/>
        <w:t xml:space="preserve"> (1) Removes Legislative findings regarding use of the valid court order (VCO) exceptions compared to other states.</w:t>
      </w:r>
    </w:p>
    <w:p>
      <w:pPr>
        <w:spacing w:before="0" w:after="0" w:line="408" w:lineRule="exact"/>
        <w:ind w:left="0" w:right="0" w:firstLine="576"/>
        <w:jc w:val="left"/>
      </w:pPr>
      <w:r>
        <w:rPr/>
        <w:t xml:space="preserve">(2) Clarifies that it is the policy of the state to reduce juvenile detention as a remedy for contempt of a VCO.</w:t>
      </w:r>
    </w:p>
    <w:p>
      <w:pPr>
        <w:spacing w:before="0" w:after="0" w:line="408" w:lineRule="exact"/>
        <w:ind w:left="0" w:right="0" w:firstLine="576"/>
        <w:jc w:val="left"/>
      </w:pPr>
      <w:r>
        <w:rPr/>
        <w:t xml:space="preserve">(3) Adds language allowing the Courts to impose remedial sanctions and confinement up to 72 hours if it:</w:t>
      </w:r>
    </w:p>
    <w:p>
      <w:pPr>
        <w:spacing w:before="0" w:after="0" w:line="408" w:lineRule="exact"/>
        <w:ind w:left="0" w:right="0" w:firstLine="576"/>
        <w:jc w:val="left"/>
      </w:pPr>
      <w:r>
        <w:rPr/>
        <w:t xml:space="preserve">(a) Considered, on the record, the mitigating and aggravating factors used to determine the appropriateness of detention for enforcement of its order;</w:t>
      </w:r>
    </w:p>
    <w:p>
      <w:pPr>
        <w:spacing w:before="0" w:after="0" w:line="408" w:lineRule="exact"/>
        <w:ind w:left="0" w:right="0" w:firstLine="576"/>
        <w:jc w:val="left"/>
      </w:pPr>
      <w:r>
        <w:rPr/>
        <w:t xml:space="preserve">(b) Affirmed that it considered all less restrictive options, that detention is the only appropriate alternative, including its rationale and the clear, cogent, and convincing evidence used to enforce the order;</w:t>
      </w:r>
    </w:p>
    <w:p>
      <w:pPr>
        <w:spacing w:before="0" w:after="0" w:line="408" w:lineRule="exact"/>
        <w:ind w:left="0" w:right="0" w:firstLine="576"/>
        <w:jc w:val="left"/>
      </w:pPr>
      <w:r>
        <w:rPr/>
        <w:t xml:space="preserve">(c) Afforded the same due process considerations that it affords all youth in criminal contempt proceedings; and</w:t>
      </w:r>
    </w:p>
    <w:p>
      <w:pPr>
        <w:spacing w:before="0" w:after="0" w:line="408" w:lineRule="exact"/>
        <w:ind w:left="0" w:right="0" w:firstLine="576"/>
        <w:jc w:val="left"/>
      </w:pPr>
      <w:r>
        <w:rPr/>
        <w:t xml:space="preserve">(d) Sought input from all relevant parties, including the youth.</w:t>
      </w:r>
    </w:p>
    <w:p>
      <w:pPr>
        <w:spacing w:before="0" w:after="0" w:line="408" w:lineRule="exact"/>
        <w:ind w:left="0" w:right="0" w:firstLine="576"/>
        <w:jc w:val="left"/>
      </w:pPr>
      <w:r>
        <w:rPr/>
        <w:t xml:space="preserve">(4) Limits the Court's imposition of confinement to no more than four 72 hour periods in a 30 day time frame.</w:t>
      </w:r>
    </w:p>
    <w:p>
      <w:pPr>
        <w:spacing w:before="0" w:after="0" w:line="408" w:lineRule="exact"/>
        <w:ind w:left="0" w:right="0" w:firstLine="576"/>
        <w:jc w:val="left"/>
      </w:pPr>
      <w:r>
        <w:rPr/>
        <w:t xml:space="preserve">(5) Requires the Courts to ensure that the annual statewide report delivered to the Legislature in 2021 provides sufficient information to measure the impacts of these changes on reducing the use of VCO exceptions.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5e6d023d954ab3" /></Relationships>
</file>