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3eed760a4438c" /></Relationships>
</file>

<file path=word/document.xml><?xml version="1.0" encoding="utf-8"?>
<w:document xmlns:w="http://schemas.openxmlformats.org/wordprocessingml/2006/main">
  <w:body>
    <w:p>
      <w:r>
        <w:rPr>
          <w:b/>
        </w:rPr>
        <w:r>
          <w:rPr/>
          <w:t xml:space="preserve">5290-S2</w:t>
        </w:r>
      </w:r>
      <w:r>
        <w:rPr>
          <w:b/>
        </w:rPr>
        <w:t xml:space="preserve"> </w:t>
        <w:t xml:space="preserve">AMS</w:t>
      </w:r>
      <w:r>
        <w:rPr>
          <w:b/>
        </w:rPr>
        <w:t xml:space="preserve"> </w:t>
        <w:r>
          <w:rPr/>
          <w:t xml:space="preserve">BRAU</w:t>
        </w:r>
      </w:r>
      <w:r>
        <w:rPr>
          <w:b/>
        </w:rPr>
        <w:t xml:space="preserve"> </w:t>
        <w:r>
          <w:rPr/>
          <w:t xml:space="preserve">S2567.1</w:t>
        </w:r>
      </w:r>
      <w:r>
        <w:rPr>
          <w:b/>
        </w:rPr>
        <w:t xml:space="preserve"> - NOT FOR FLOOR USE</w:t>
      </w:r>
    </w:p>
    <w:p>
      <w:pPr>
        <w:ind w:left="0" w:right="0" w:firstLine="576"/>
      </w:pPr>
    </w:p>
    <w:p>
      <w:pPr>
        <w:spacing w:before="480" w:after="0" w:line="408" w:lineRule="exact"/>
      </w:pPr>
      <w:r>
        <w:rPr>
          <w:b/>
          <w:u w:val="single"/>
        </w:rPr>
        <w:t xml:space="preserve">2SSB 5290</w:t>
      </w:r>
      <w:r>
        <w:t xml:space="preserve"> -</w:t>
      </w:r>
      <w:r>
        <w:t xml:space="preserve"> </w:t>
        <w:t xml:space="preserve">S AMD</w:t>
      </w:r>
      <w:r>
        <w:t xml:space="preserve"> </w:t>
      </w:r>
      <w:r>
        <w:rPr>
          <w:b/>
        </w:rPr>
        <w:t xml:space="preserve">185</w:t>
      </w:r>
    </w:p>
    <w:p>
      <w:pPr>
        <w:spacing w:before="0" w:after="0" w:line="408" w:lineRule="exact"/>
        <w:ind w:left="0" w:right="0" w:firstLine="576"/>
        <w:jc w:val="left"/>
      </w:pPr>
      <w:r>
        <w:rPr/>
        <w:t xml:space="preserve">By Senator Braun</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reduce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 other than pursuant to RCW 13.32A.250(3)(b).</w:t>
      </w:r>
    </w:p>
    <w:p>
      <w:pPr>
        <w:spacing w:before="0" w:after="0" w:line="408" w:lineRule="exact"/>
        <w:ind w:left="0" w:right="0" w:firstLine="576"/>
        <w:jc w:val="left"/>
      </w:pPr>
      <w:r>
        <w:rPr/>
        <w:t xml:space="preserve">(2)(a) It is also the policy of the state of Washington to reduce the use of juvenile detention as a remedy for contempt of a valid court order for at-risk youth under chapter 13.32A RCW by July 1, 2021. After this date, at-risk youth may not be committed to juvenile detention as a contempt sanction under chapter 13.32A RCW, and a warrant may not be issued for failure to appear at a court hearing that requires commitment of the at-risk youth to juvenile detention other than pursuant to RCW 13.32A.250(3)(b).</w:t>
      </w:r>
    </w:p>
    <w:p>
      <w:pPr>
        <w:spacing w:before="0" w:after="0" w:line="408" w:lineRule="exact"/>
        <w:ind w:left="0" w:right="0" w:firstLine="576"/>
        <w:jc w:val="left"/>
      </w:pPr>
      <w:r>
        <w:rPr/>
        <w:t xml:space="preserve">(b)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w:t>
      </w:r>
      <w:r>
        <w:t>((</w:t>
      </w:r>
      <w:r>
        <w:rPr>
          <w:strike/>
        </w:rPr>
        <w:t xml:space="preserve">In cases</w:t>
      </w:r>
      <w:r>
        <w:t>))</w:t>
      </w:r>
      <w:r>
        <w:rPr/>
        <w:t xml:space="preserve"> </w:t>
      </w:r>
      <w:r>
        <w:rPr>
          <w:u w:val="single"/>
        </w:rPr>
        <w:t xml:space="preserve">U</w:t>
      </w:r>
      <w:r>
        <w:rPr/>
        <w:t xml:space="preserve">nder chapters 13.32A, 13.34, and 28A.225 RCW </w:t>
      </w:r>
      <w:r>
        <w:rPr>
          <w:u w:val="single"/>
        </w:rPr>
        <w:t xml:space="preserve">and subject to the requirements under RCW 13.32A.250(3)(b)</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 </w:t>
      </w:r>
      <w:r>
        <w:rPr>
          <w:u w:val="single"/>
        </w:rPr>
        <w:t xml:space="preserve">All such remedial sanctions may not be imposed more than four times during a thirty-day period.</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upon issuing formal written findings that it: (i) Considered, on the record, the mitigating and aggravating factors used to determine the appropriateness of detention for enforcement of its order; (ii) affirmed that it considered all less restrictive options, that detention is the only appropriate alternative, including its rationale and the clear, cogent, and convincing evidence used to enforce the order; (iii) afforded the same due process considerations that it affords all youth in a criminal contempt proceeding; and (iv) sought input from all relevant parties, including the youth. The seventy-two hour period excludes Saturdays, Sundays, and holidays and shall commence upon the next nonholiday weekday following the court order and shall run to the end of the last nonholiday weekday within the seventy-two hour period. The court may impose no more than four such seventy-two hour periods in a thirty-day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rPr>
          <w:u w:val="single"/>
        </w:rPr>
        <w:t xml:space="preserve">(1) If requested by the family, the department must provide f</w:t>
      </w:r>
      <w:r>
        <w:rPr/>
        <w:t xml:space="preserve">amilies who are in conflict or who are experiencing problems with at-risk youth or a child who may be in need of services </w:t>
      </w:r>
      <w:r>
        <w:t>((</w:t>
      </w:r>
      <w:r>
        <w:rPr>
          <w:strike/>
        </w:rPr>
        <w:t xml:space="preserve">may request</w:t>
      </w:r>
      <w:r>
        <w:t>))</w:t>
      </w:r>
      <w:r>
        <w:rPr/>
        <w:t xml:space="preserve"> </w:t>
      </w:r>
      <w:r>
        <w:rPr>
          <w:u w:val="single"/>
        </w:rPr>
        <w:t xml:space="preserve">with</w:t>
      </w:r>
      <w:r>
        <w:rPr/>
        <w:t xml:space="preserve"> family reconciliation services</w:t>
      </w:r>
      <w:r>
        <w:rPr>
          <w:u w:val="single"/>
        </w:rPr>
        <w:t xml:space="preserve">, or its successor program,</w:t>
      </w:r>
      <w:r>
        <w:rPr/>
        <w:t xml:space="preserve"> from the department </w:t>
      </w:r>
      <w:r>
        <w:rPr>
          <w:u w:val="single"/>
        </w:rPr>
        <w:t xml:space="preserve">before or once a petition is filed. The department should provide these services in a timely manner once requested by the family</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Family reconciliation services shall be designed to develop skills and supports within families to resolve problems related to at-risk youth, children in need of services, or family conflicts. These services may include</w:t>
      </w:r>
      <w:r>
        <w:rPr>
          <w:u w:val="single"/>
        </w:rPr>
        <w:t xml:space="preserve">,</w:t>
      </w:r>
      <w:r>
        <w:rPr/>
        <w:t xml:space="preserve"> but are not limited to</w:t>
      </w:r>
      <w:r>
        <w:rPr>
          <w:u w:val="single"/>
        </w:rPr>
        <w:t xml:space="preserve">,</w:t>
      </w:r>
      <w:r>
        <w:rPr/>
        <w:t xml:space="preserve">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p>
    <w:p>
      <w:pPr>
        <w:spacing w:before="0" w:after="0" w:line="408" w:lineRule="exact"/>
        <w:ind w:left="0" w:right="0" w:firstLine="576"/>
        <w:jc w:val="left"/>
      </w:pPr>
      <w:r>
        <w:rPr>
          <w:u w:val="single"/>
        </w:rPr>
        <w:t xml:space="preserve">(2) The department must report to the appropriate committees of the legislature annually, beginning by December 31, 2019, on the use of family reconciliation services or its successor program, any significant reductions or outcomes within the program, and any recommendations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w:t>
      </w:r>
      <w:r>
        <w:t>((</w:t>
      </w:r>
      <w:r>
        <w:rPr>
          <w:strike/>
        </w:rPr>
        <w:t xml:space="preserve">or</w:t>
      </w:r>
    </w:p>
    <w:p>
      <w:pPr>
        <w:spacing w:before="0" w:after="0" w:line="408" w:lineRule="exact"/>
        <w:ind w:left="0" w:right="0" w:firstLine="576"/>
        <w:jc w:val="left"/>
      </w:pPr>
      <w:r>
        <w:rPr>
          <w:strike/>
        </w:rPr>
        <w:t xml:space="preserve">(iv)</w:t>
      </w:r>
      <w:r>
        <w:t>))</w:t>
      </w:r>
      <w:r>
        <w:rPr/>
        <w:t xml:space="preserve"> </w:t>
      </w:r>
      <w:r>
        <w:rPr>
          <w:u w:val="single"/>
        </w:rPr>
        <w:t xml:space="preserve">(d)</w:t>
      </w:r>
      <w:r>
        <w:rPr/>
        <w:t xml:space="preserve"> Other services and interventions that the court deems appropriate</w:t>
      </w:r>
      <w:r>
        <w:rPr>
          <w:u w:val="single"/>
        </w:rPr>
        <w:t xml:space="preserve">; or</w:t>
      </w:r>
    </w:p>
    <w:p>
      <w:pPr>
        <w:spacing w:before="0" w:after="0" w:line="408" w:lineRule="exact"/>
        <w:ind w:left="0" w:right="0" w:firstLine="576"/>
        <w:jc w:val="left"/>
      </w:pPr>
      <w:r>
        <w:rPr>
          <w:u w:val="single"/>
        </w:rPr>
        <w:t xml:space="preserve">(e) The remedial sanctions pursuant to RCW 13.32A.250(3)(d)</w:t>
      </w:r>
      <w:r>
        <w:rPr/>
        <w:t xml:space="preserv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administrative office of the courts shall ensure that the annual statewide report delivered to the legislature in 2021 provides sufficient information to measure the impacts of RCW 13.32A.250(3)(b) on reducing the use of juvenile detention as a remedy for contempt of a valid court order for youth referenced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80" w:after="0" w:line="408" w:lineRule="exact"/>
      </w:pPr>
      <w:r>
        <w:rPr>
          <w:b/>
          <w:u w:val="single"/>
        </w:rPr>
        <w:t xml:space="preserve">2SSB 5290</w:t>
      </w:r>
      <w:r>
        <w:t xml:space="preserve"> -</w:t>
      </w:r>
      <w:r>
        <w:t xml:space="preserve"> </w:t>
        <w:t xml:space="preserve">S AMD</w:t>
      </w:r>
      <w:r>
        <w:t xml:space="preserve"> </w:t>
      </w:r>
      <w:r>
        <w:rPr>
          <w:b/>
        </w:rPr>
        <w:t xml:space="preserve">185</w:t>
      </w:r>
    </w:p>
    <w:p>
      <w:pPr>
        <w:spacing w:before="0" w:after="0" w:line="408" w:lineRule="exact"/>
        <w:ind w:left="0" w:right="0" w:firstLine="576"/>
        <w:jc w:val="left"/>
      </w:pPr>
      <w:r>
        <w:rPr/>
        <w:t xml:space="preserve">By Senator Braun</w:t>
      </w:r>
    </w:p>
    <w:p>
      <w:pPr>
        <w:jc w:val="right"/>
      </w:pPr>
      <w:r>
        <w:rPr>
          <w:b/>
        </w:rPr>
        <w:t xml:space="preserve">ADOPTED 03/12/2019</w:t>
      </w:r>
    </w:p>
    <w:p>
      <w:pPr>
        <w:spacing w:before="0" w:after="0" w:line="408" w:lineRule="exact"/>
        <w:ind w:left="0" w:right="0" w:firstLine="576"/>
        <w:jc w:val="left"/>
      </w:pPr>
      <w:r>
        <w:rPr/>
        <w:t xml:space="preserve">On page 1, line 2 of the title, after "behavior;" strike the remainder of the title and insert "amending RCW 7.21.030, 13.32A.250, 13.32A.040, 13.32A.150, 13.34.165, 28A.225.090, 43.185C.260, 43.185C.265, and 2.56.032; adding a new section to chapter 7.21 RCW; creating a new section; repealing RCW 43.185C.270; and repealing 1998 c 296 s 35 (uncodified)."</w:t>
      </w:r>
    </w:p>
    <w:p>
      <w:pPr>
        <w:spacing w:before="0" w:after="0" w:line="408" w:lineRule="exact"/>
        <w:ind w:left="0" w:right="0" w:firstLine="576"/>
        <w:jc w:val="left"/>
      </w:pPr>
      <w:r>
        <w:rPr>
          <w:u w:val="single"/>
        </w:rPr>
        <w:t xml:space="preserve">EFFECT:</w:t>
      </w:r>
      <w:r>
        <w:rPr/>
        <w:t xml:space="preserve"> (1) Removes Legislative findings regarding use of the valid court order (VCO) exceptions compared to other states.</w:t>
      </w:r>
    </w:p>
    <w:p>
      <w:pPr>
        <w:spacing w:before="0" w:after="0" w:line="408" w:lineRule="exact"/>
        <w:ind w:left="0" w:right="0" w:firstLine="576"/>
        <w:jc w:val="left"/>
      </w:pPr>
      <w:r>
        <w:rPr/>
        <w:t xml:space="preserve">(2) Clarifies that it is the policy of the state to reduce juvenile detention as a remedy for contempt of a VCO.</w:t>
      </w:r>
    </w:p>
    <w:p>
      <w:pPr>
        <w:spacing w:before="0" w:after="0" w:line="408" w:lineRule="exact"/>
        <w:ind w:left="0" w:right="0" w:firstLine="576"/>
        <w:jc w:val="left"/>
      </w:pPr>
      <w:r>
        <w:rPr/>
        <w:t xml:space="preserve">(3) Adds language allowing the Courts to impose remedial sanctions and confinement up to 72 hours if it:</w:t>
      </w:r>
    </w:p>
    <w:p>
      <w:pPr>
        <w:spacing w:before="0" w:after="0" w:line="408" w:lineRule="exact"/>
        <w:ind w:left="0" w:right="0" w:firstLine="576"/>
        <w:jc w:val="left"/>
      </w:pPr>
      <w:r>
        <w:rPr/>
        <w:t xml:space="preserve">(a) Considered,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Affirmed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Afforded the same due process considerations that it affords all youth in criminal contempt proceedings; and</w:t>
      </w:r>
    </w:p>
    <w:p>
      <w:pPr>
        <w:spacing w:before="0" w:after="0" w:line="408" w:lineRule="exact"/>
        <w:ind w:left="0" w:right="0" w:firstLine="576"/>
        <w:jc w:val="left"/>
      </w:pPr>
      <w:r>
        <w:rPr/>
        <w:t xml:space="preserve">(d) Sought input from all relevant parties, including the youth.</w:t>
      </w:r>
    </w:p>
    <w:p>
      <w:pPr>
        <w:spacing w:before="0" w:after="0" w:line="408" w:lineRule="exact"/>
        <w:ind w:left="0" w:right="0" w:firstLine="576"/>
        <w:jc w:val="left"/>
      </w:pPr>
      <w:r>
        <w:rPr/>
        <w:t xml:space="preserve">(4) Limits the Court's imposition of confinement to no more than four 72 hour periods in a 30 day time frame.</w:t>
      </w:r>
    </w:p>
    <w:p>
      <w:pPr>
        <w:spacing w:before="0" w:after="0" w:line="408" w:lineRule="exact"/>
        <w:ind w:left="0" w:right="0" w:firstLine="576"/>
        <w:jc w:val="left"/>
      </w:pPr>
      <w:r>
        <w:rPr/>
        <w:t xml:space="preserve">(5) Requires the Courts to ensure that the annual statewide report delivered to the Legislature in 2021 provides sufficient information to measure the impacts of these changes on reducing the use of VCO exceptions.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e6d023d954ab3" /></Relationships>
</file>