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b5d8b8986e4a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5291-S2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OBAN</w:t>
        </w:r>
      </w:r>
      <w:r>
        <w:rPr>
          <w:b/>
        </w:rPr>
        <w:t xml:space="preserve"> </w:t>
        <w:r>
          <w:rPr/>
          <w:t xml:space="preserve">S2409.1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O'Ban</w:t>
      </w:r>
    </w:p>
    <w:p>
      <w:pPr>
        <w:jc w:val="right"/>
      </w:pPr>
      <w:r>
        <w:rPr>
          <w:b/>
        </w:rPr>
        <w:t xml:space="preserve">ADOPTED 03/12/2019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30, after "</w:t>
      </w:r>
      <w:r>
        <w:rPr>
          <w:u w:val="single"/>
        </w:rPr>
        <w:t xml:space="preserve">offense</w:t>
      </w:r>
      <w:r>
        <w:rPr/>
        <w:t xml:space="preserve">" insert "</w:t>
      </w:r>
      <w:r>
        <w:rPr>
          <w:u w:val="single"/>
        </w:rPr>
        <w:t xml:space="preserve">and has been determined to be a low risk to reoffend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offenders with current or prior conviction for a violent felony offense must be determined to be a low risk to reoffend in order to be eligible for the parenting sentencing alternative.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26129e2b864c24" /></Relationships>
</file>